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E8081" w14:textId="77777777" w:rsidR="00F107FD" w:rsidRDefault="00F107F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2"/>
      </w:tblGrid>
      <w:tr w:rsidR="00F107FD" w14:paraId="7B66062D" w14:textId="77777777">
        <w:trPr>
          <w:jc w:val="center"/>
        </w:trPr>
        <w:tc>
          <w:tcPr>
            <w:tcW w:w="8642" w:type="dxa"/>
          </w:tcPr>
          <w:p w14:paraId="10B49933" w14:textId="77777777" w:rsidR="00F107FD" w:rsidRDefault="00000000">
            <w:pPr>
              <w:spacing w:before="120" w:after="120"/>
              <w:rPr>
                <w:rFonts w:ascii="Arial" w:eastAsia="Arial" w:hAnsi="Arial" w:cs="Arial"/>
                <w:b/>
                <w:sz w:val="22"/>
                <w:szCs w:val="22"/>
              </w:rPr>
            </w:pPr>
            <w:r>
              <w:rPr>
                <w:rFonts w:ascii="Roboto" w:eastAsia="Roboto" w:hAnsi="Roboto" w:cs="Roboto"/>
                <w:b/>
                <w:color w:val="1F1F1F"/>
                <w:sz w:val="21"/>
                <w:szCs w:val="21"/>
                <w:highlight w:val="white"/>
              </w:rPr>
              <w:t xml:space="preserve">Paediatric X-ray Velocimetry lung ventilation imaging: Updates and </w:t>
            </w:r>
            <w:proofErr w:type="gramStart"/>
            <w:r>
              <w:rPr>
                <w:rFonts w:ascii="Roboto" w:eastAsia="Roboto" w:hAnsi="Roboto" w:cs="Roboto"/>
                <w:b/>
                <w:color w:val="1F1F1F"/>
                <w:sz w:val="21"/>
                <w:szCs w:val="21"/>
                <w:highlight w:val="white"/>
              </w:rPr>
              <w:t>future plans</w:t>
            </w:r>
            <w:proofErr w:type="gramEnd"/>
          </w:p>
        </w:tc>
      </w:tr>
      <w:tr w:rsidR="00F107FD" w14:paraId="0DFF5B13" w14:textId="77777777">
        <w:trPr>
          <w:jc w:val="center"/>
        </w:trPr>
        <w:tc>
          <w:tcPr>
            <w:tcW w:w="8642" w:type="dxa"/>
          </w:tcPr>
          <w:p w14:paraId="1407E596" w14:textId="77777777" w:rsidR="00F107FD" w:rsidRDefault="00000000">
            <w:pPr>
              <w:spacing w:before="120" w:after="120"/>
              <w:rPr>
                <w:rFonts w:ascii="Arial" w:eastAsia="Arial" w:hAnsi="Arial" w:cs="Arial"/>
                <w:sz w:val="22"/>
                <w:szCs w:val="22"/>
                <w:u w:val="single"/>
                <w:vertAlign w:val="superscript"/>
              </w:rPr>
            </w:pPr>
            <w:r>
              <w:rPr>
                <w:rFonts w:ascii="Arial" w:eastAsia="Arial" w:hAnsi="Arial" w:cs="Arial"/>
                <w:sz w:val="22"/>
                <w:szCs w:val="22"/>
              </w:rPr>
              <w:t>Martin Donnelley</w:t>
            </w:r>
            <w:r>
              <w:rPr>
                <w:rFonts w:ascii="Arial" w:eastAsia="Arial" w:hAnsi="Arial" w:cs="Arial"/>
                <w:sz w:val="22"/>
                <w:szCs w:val="22"/>
                <w:vertAlign w:val="superscript"/>
              </w:rPr>
              <w:t>1-3</w:t>
            </w:r>
            <w:r>
              <w:rPr>
                <w:rFonts w:ascii="Arial" w:eastAsia="Arial" w:hAnsi="Arial" w:cs="Arial"/>
                <w:sz w:val="22"/>
                <w:szCs w:val="22"/>
              </w:rPr>
              <w:t>, Andrew Tai</w:t>
            </w:r>
            <w:r>
              <w:rPr>
                <w:rFonts w:ascii="Arial" w:eastAsia="Arial" w:hAnsi="Arial" w:cs="Arial"/>
                <w:sz w:val="22"/>
                <w:szCs w:val="22"/>
                <w:vertAlign w:val="superscript"/>
              </w:rPr>
              <w:t>1-3</w:t>
            </w:r>
            <w:r>
              <w:rPr>
                <w:rFonts w:ascii="Arial" w:eastAsia="Arial" w:hAnsi="Arial" w:cs="Arial"/>
                <w:sz w:val="22"/>
                <w:szCs w:val="22"/>
              </w:rPr>
              <w:t>, Kristin Carson-Chahhoud</w:t>
            </w:r>
            <w:r>
              <w:rPr>
                <w:rFonts w:ascii="Arial" w:eastAsia="Arial" w:hAnsi="Arial" w:cs="Arial"/>
                <w:sz w:val="22"/>
                <w:szCs w:val="22"/>
                <w:vertAlign w:val="superscript"/>
              </w:rPr>
              <w:t>1-3</w:t>
            </w:r>
            <w:r>
              <w:rPr>
                <w:rFonts w:ascii="Arial" w:eastAsia="Arial" w:hAnsi="Arial" w:cs="Arial"/>
                <w:sz w:val="22"/>
                <w:szCs w:val="22"/>
              </w:rPr>
              <w:t>, David Parsons</w:t>
            </w:r>
            <w:r>
              <w:rPr>
                <w:rFonts w:ascii="Arial" w:eastAsia="Arial" w:hAnsi="Arial" w:cs="Arial"/>
                <w:sz w:val="22"/>
                <w:szCs w:val="22"/>
                <w:vertAlign w:val="superscript"/>
              </w:rPr>
              <w:t>1-3</w:t>
            </w:r>
            <w:r>
              <w:rPr>
                <w:rFonts w:ascii="Arial" w:eastAsia="Arial" w:hAnsi="Arial" w:cs="Arial"/>
                <w:sz w:val="22"/>
                <w:szCs w:val="22"/>
              </w:rPr>
              <w:t>, Dhani Dharmaprani</w:t>
            </w:r>
            <w:r>
              <w:rPr>
                <w:rFonts w:ascii="Arial" w:eastAsia="Arial" w:hAnsi="Arial" w:cs="Arial"/>
                <w:sz w:val="22"/>
                <w:szCs w:val="22"/>
                <w:vertAlign w:val="superscript"/>
              </w:rPr>
              <w:t>4</w:t>
            </w:r>
            <w:r>
              <w:rPr>
                <w:rFonts w:ascii="Arial" w:eastAsia="Arial" w:hAnsi="Arial" w:cs="Arial"/>
                <w:sz w:val="22"/>
                <w:szCs w:val="22"/>
              </w:rPr>
              <w:t>, Ronan Smith</w:t>
            </w:r>
            <w:r>
              <w:rPr>
                <w:rFonts w:ascii="Arial" w:eastAsia="Arial" w:hAnsi="Arial" w:cs="Arial"/>
                <w:sz w:val="22"/>
                <w:szCs w:val="22"/>
                <w:vertAlign w:val="superscript"/>
              </w:rPr>
              <w:t>1-3</w:t>
            </w:r>
            <w:r>
              <w:rPr>
                <w:rFonts w:ascii="Arial" w:eastAsia="Arial" w:hAnsi="Arial" w:cs="Arial"/>
                <w:sz w:val="22"/>
                <w:szCs w:val="22"/>
              </w:rPr>
              <w:t>, Nicole Reyne</w:t>
            </w:r>
            <w:r>
              <w:rPr>
                <w:rFonts w:ascii="Arial" w:eastAsia="Arial" w:hAnsi="Arial" w:cs="Arial"/>
                <w:sz w:val="22"/>
                <w:szCs w:val="22"/>
                <w:vertAlign w:val="superscript"/>
              </w:rPr>
              <w:t>1-3</w:t>
            </w:r>
            <w:r>
              <w:rPr>
                <w:rFonts w:ascii="Arial" w:eastAsia="Arial" w:hAnsi="Arial" w:cs="Arial"/>
                <w:sz w:val="22"/>
                <w:szCs w:val="22"/>
              </w:rPr>
              <w:t>, Nina Eikelis</w:t>
            </w:r>
            <w:r>
              <w:rPr>
                <w:rFonts w:ascii="Arial" w:eastAsia="Arial" w:hAnsi="Arial" w:cs="Arial"/>
                <w:sz w:val="22"/>
                <w:szCs w:val="22"/>
                <w:vertAlign w:val="superscript"/>
              </w:rPr>
              <w:t>5</w:t>
            </w:r>
            <w:r>
              <w:rPr>
                <w:rFonts w:ascii="Arial" w:eastAsia="Arial" w:hAnsi="Arial" w:cs="Arial"/>
                <w:sz w:val="22"/>
                <w:szCs w:val="22"/>
              </w:rPr>
              <w:t>, Reanna Gray, Andreas Fouras</w:t>
            </w:r>
            <w:r>
              <w:rPr>
                <w:rFonts w:ascii="Arial" w:eastAsia="Arial" w:hAnsi="Arial" w:cs="Arial"/>
                <w:sz w:val="22"/>
                <w:szCs w:val="22"/>
                <w:vertAlign w:val="superscript"/>
              </w:rPr>
              <w:t>5</w:t>
            </w:r>
            <w:r>
              <w:rPr>
                <w:rFonts w:ascii="Arial" w:eastAsia="Arial" w:hAnsi="Arial" w:cs="Arial"/>
                <w:sz w:val="22"/>
                <w:szCs w:val="22"/>
              </w:rPr>
              <w:t>, Jennie Louise</w:t>
            </w:r>
            <w:r>
              <w:rPr>
                <w:rFonts w:ascii="Arial" w:eastAsia="Arial" w:hAnsi="Arial" w:cs="Arial"/>
                <w:sz w:val="22"/>
                <w:szCs w:val="22"/>
                <w:vertAlign w:val="superscript"/>
              </w:rPr>
              <w:t>6</w:t>
            </w:r>
            <w:r>
              <w:rPr>
                <w:rFonts w:ascii="Arial" w:eastAsia="Arial" w:hAnsi="Arial" w:cs="Arial"/>
                <w:sz w:val="22"/>
                <w:szCs w:val="22"/>
              </w:rPr>
              <w:t>, Adam Jaffe</w:t>
            </w:r>
            <w:r>
              <w:rPr>
                <w:rFonts w:ascii="Arial" w:eastAsia="Arial" w:hAnsi="Arial" w:cs="Arial"/>
                <w:sz w:val="22"/>
                <w:szCs w:val="22"/>
                <w:vertAlign w:val="superscript"/>
              </w:rPr>
              <w:t>7,8</w:t>
            </w:r>
            <w:r>
              <w:rPr>
                <w:rFonts w:ascii="Arial" w:eastAsia="Arial" w:hAnsi="Arial" w:cs="Arial"/>
                <w:sz w:val="22"/>
                <w:szCs w:val="22"/>
              </w:rPr>
              <w:t>, Thomas Goddard</w:t>
            </w:r>
            <w:r>
              <w:rPr>
                <w:rFonts w:ascii="Arial" w:eastAsia="Arial" w:hAnsi="Arial" w:cs="Arial"/>
                <w:sz w:val="22"/>
                <w:szCs w:val="22"/>
                <w:vertAlign w:val="superscript"/>
              </w:rPr>
              <w:t>3</w:t>
            </w:r>
            <w:r>
              <w:rPr>
                <w:rFonts w:ascii="Arial" w:eastAsia="Arial" w:hAnsi="Arial" w:cs="Arial"/>
                <w:sz w:val="22"/>
                <w:szCs w:val="22"/>
              </w:rPr>
              <w:t>, Trishul Siddharthan</w:t>
            </w:r>
            <w:r>
              <w:rPr>
                <w:rFonts w:ascii="Arial" w:eastAsia="Arial" w:hAnsi="Arial" w:cs="Arial"/>
                <w:sz w:val="22"/>
                <w:szCs w:val="22"/>
                <w:vertAlign w:val="superscript"/>
              </w:rPr>
              <w:t>9</w:t>
            </w:r>
            <w:r>
              <w:rPr>
                <w:rFonts w:ascii="Arial" w:eastAsia="Arial" w:hAnsi="Arial" w:cs="Arial"/>
                <w:sz w:val="22"/>
                <w:szCs w:val="22"/>
              </w:rPr>
              <w:t>, Megan Frohlich</w:t>
            </w:r>
            <w:r>
              <w:rPr>
                <w:rFonts w:ascii="Arial" w:eastAsia="Arial" w:hAnsi="Arial" w:cs="Arial"/>
                <w:sz w:val="22"/>
                <w:szCs w:val="22"/>
                <w:vertAlign w:val="superscript"/>
              </w:rPr>
              <w:t>7,8</w:t>
            </w:r>
            <w:r>
              <w:rPr>
                <w:rFonts w:ascii="Arial" w:eastAsia="Arial" w:hAnsi="Arial" w:cs="Arial"/>
                <w:sz w:val="22"/>
                <w:szCs w:val="22"/>
              </w:rPr>
              <w:t>, Matthew Bruorton</w:t>
            </w:r>
            <w:r>
              <w:rPr>
                <w:rFonts w:ascii="Arial" w:eastAsia="Arial" w:hAnsi="Arial" w:cs="Arial"/>
                <w:sz w:val="22"/>
                <w:szCs w:val="22"/>
                <w:vertAlign w:val="superscript"/>
              </w:rPr>
              <w:t>1-3</w:t>
            </w:r>
            <w:r>
              <w:rPr>
                <w:rFonts w:ascii="Arial" w:eastAsia="Arial" w:hAnsi="Arial" w:cs="Arial"/>
                <w:sz w:val="22"/>
                <w:szCs w:val="22"/>
              </w:rPr>
              <w:t>, Jessica Phillips</w:t>
            </w:r>
            <w:r>
              <w:rPr>
                <w:rFonts w:ascii="Arial" w:eastAsia="Arial" w:hAnsi="Arial" w:cs="Arial"/>
                <w:sz w:val="22"/>
                <w:szCs w:val="22"/>
                <w:vertAlign w:val="superscript"/>
              </w:rPr>
              <w:t>1,2,3</w:t>
            </w:r>
          </w:p>
        </w:tc>
      </w:tr>
      <w:tr w:rsidR="00F107FD" w14:paraId="3658923D" w14:textId="77777777">
        <w:trPr>
          <w:trHeight w:val="136"/>
          <w:jc w:val="center"/>
        </w:trPr>
        <w:tc>
          <w:tcPr>
            <w:tcW w:w="8642" w:type="dxa"/>
          </w:tcPr>
          <w:p w14:paraId="1855A87E"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1</w:t>
            </w:r>
            <w:r>
              <w:rPr>
                <w:rFonts w:ascii="Arial" w:eastAsia="Arial" w:hAnsi="Arial" w:cs="Arial"/>
                <w:i/>
                <w:sz w:val="22"/>
                <w:szCs w:val="22"/>
              </w:rPr>
              <w:t xml:space="preserve">Robinson Research Institute, University of Adelaide, South Australia. </w:t>
            </w:r>
          </w:p>
          <w:p w14:paraId="292DB348"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2</w:t>
            </w:r>
            <w:r>
              <w:rPr>
                <w:rFonts w:ascii="Arial" w:eastAsia="Arial" w:hAnsi="Arial" w:cs="Arial"/>
                <w:i/>
                <w:sz w:val="22"/>
                <w:szCs w:val="22"/>
              </w:rPr>
              <w:t xml:space="preserve">Adelaide Medical School, University of Adelaide, South Australia. </w:t>
            </w:r>
          </w:p>
          <w:p w14:paraId="59438BE6"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3</w:t>
            </w:r>
            <w:r>
              <w:rPr>
                <w:rFonts w:ascii="Arial" w:eastAsia="Arial" w:hAnsi="Arial" w:cs="Arial"/>
                <w:i/>
                <w:sz w:val="22"/>
                <w:szCs w:val="22"/>
              </w:rPr>
              <w:t xml:space="preserve">Respiratory and Sleep Medicine, Women's and Children's Hospital, South Australia. </w:t>
            </w:r>
          </w:p>
          <w:p w14:paraId="0F5ADFFB"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4</w:t>
            </w:r>
            <w:r>
              <w:rPr>
                <w:rFonts w:ascii="Arial" w:eastAsia="Arial" w:hAnsi="Arial" w:cs="Arial"/>
                <w:i/>
                <w:sz w:val="22"/>
                <w:szCs w:val="22"/>
              </w:rPr>
              <w:t xml:space="preserve">Australian Institute of Machine Learning, University of Adelaide, South Australia. </w:t>
            </w:r>
          </w:p>
          <w:p w14:paraId="2C4F6977"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5</w:t>
            </w:r>
            <w:r>
              <w:rPr>
                <w:rFonts w:ascii="Arial" w:eastAsia="Arial" w:hAnsi="Arial" w:cs="Arial"/>
                <w:i/>
                <w:sz w:val="22"/>
                <w:szCs w:val="22"/>
              </w:rPr>
              <w:t xml:space="preserve">4DMedical, Victoria, Australia. </w:t>
            </w:r>
          </w:p>
          <w:p w14:paraId="7D8DC66E"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6</w:t>
            </w:r>
            <w:r>
              <w:rPr>
                <w:rFonts w:ascii="Arial" w:eastAsia="Arial" w:hAnsi="Arial" w:cs="Arial"/>
                <w:i/>
                <w:sz w:val="22"/>
                <w:szCs w:val="22"/>
              </w:rPr>
              <w:t xml:space="preserve">Biostatistics Unit, South Australian Health and Medical Research Institute. </w:t>
            </w:r>
          </w:p>
          <w:p w14:paraId="43025FC0"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7</w:t>
            </w:r>
            <w:r>
              <w:rPr>
                <w:rFonts w:ascii="Arial" w:eastAsia="Arial" w:hAnsi="Arial" w:cs="Arial"/>
                <w:i/>
                <w:sz w:val="22"/>
                <w:szCs w:val="22"/>
              </w:rPr>
              <w:t>Discipline of Paediatrics and Child Health, School of Clinical Medicine, Faculty of Medicine and Health, UNSW Sydney, NSW, Australia.</w:t>
            </w:r>
          </w:p>
          <w:p w14:paraId="4D2010E8"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8</w:t>
            </w:r>
            <w:r>
              <w:rPr>
                <w:rFonts w:ascii="Arial" w:eastAsia="Arial" w:hAnsi="Arial" w:cs="Arial"/>
                <w:i/>
                <w:sz w:val="22"/>
                <w:szCs w:val="22"/>
              </w:rPr>
              <w:t>Department of Respiratory Medicine, Sydney Children’s Hospital, NSW, Australia</w:t>
            </w:r>
          </w:p>
          <w:p w14:paraId="62356B0C" w14:textId="77777777" w:rsidR="00F107FD" w:rsidRDefault="00000000">
            <w:pPr>
              <w:spacing w:before="120" w:after="120"/>
              <w:rPr>
                <w:rFonts w:ascii="Arial" w:eastAsia="Arial" w:hAnsi="Arial" w:cs="Arial"/>
                <w:i/>
                <w:sz w:val="22"/>
                <w:szCs w:val="22"/>
              </w:rPr>
            </w:pPr>
            <w:r>
              <w:rPr>
                <w:rFonts w:ascii="Arial" w:eastAsia="Arial" w:hAnsi="Arial" w:cs="Arial"/>
                <w:i/>
                <w:sz w:val="22"/>
                <w:szCs w:val="22"/>
                <w:vertAlign w:val="superscript"/>
              </w:rPr>
              <w:t>9</w:t>
            </w:r>
            <w:r>
              <w:rPr>
                <w:rFonts w:ascii="Arial" w:eastAsia="Arial" w:hAnsi="Arial" w:cs="Arial"/>
                <w:i/>
                <w:sz w:val="22"/>
                <w:szCs w:val="22"/>
              </w:rPr>
              <w:t>University of Miami, Florida.</w:t>
            </w:r>
          </w:p>
        </w:tc>
      </w:tr>
      <w:tr w:rsidR="00F107FD" w14:paraId="699D250B" w14:textId="77777777" w:rsidTr="002C16A4">
        <w:trPr>
          <w:trHeight w:val="7386"/>
          <w:jc w:val="center"/>
        </w:trPr>
        <w:tc>
          <w:tcPr>
            <w:tcW w:w="8642" w:type="dxa"/>
          </w:tcPr>
          <w:p w14:paraId="7EEEF0B1" w14:textId="77777777" w:rsidR="00F107FD" w:rsidRDefault="00000000">
            <w:pPr>
              <w:pBdr>
                <w:top w:val="nil"/>
                <w:left w:val="nil"/>
                <w:bottom w:val="nil"/>
                <w:right w:val="nil"/>
                <w:between w:val="nil"/>
              </w:pBdr>
              <w:spacing w:after="60"/>
              <w:jc w:val="both"/>
              <w:rPr>
                <w:rFonts w:ascii="Arial" w:eastAsia="Arial" w:hAnsi="Arial" w:cs="Arial"/>
                <w:sz w:val="22"/>
                <w:szCs w:val="22"/>
              </w:rPr>
            </w:pPr>
            <w:r>
              <w:rPr>
                <w:rFonts w:ascii="Arial" w:eastAsia="Arial" w:hAnsi="Arial" w:cs="Arial"/>
                <w:b/>
                <w:color w:val="000000"/>
                <w:sz w:val="22"/>
                <w:szCs w:val="22"/>
              </w:rPr>
              <w:t xml:space="preserve">Introduction/Aim: </w:t>
            </w:r>
            <w:r>
              <w:rPr>
                <w:rFonts w:ascii="Arial" w:eastAsia="Arial" w:hAnsi="Arial" w:cs="Arial"/>
                <w:sz w:val="22"/>
                <w:szCs w:val="22"/>
              </w:rPr>
              <w:t>Current methods for measuring lung health in paediatric and adult populations are recognised as inadequate. Our goal is to integrate X-ray Velocimetry (XV) functional lung imaging into paediatric respiratory clinical care. Supported by MRFF Chronic Respiratory Conditions funding we will: (1) Use XV to quantify early changes in regional ventilation in children with cystic fibrosis (CF), primary ciliary dyskinesia (PCD), and asthma; (2) utilise machine learning in XV analysis to determine how lung disease affects local airflow; and (3) explore consumer, clinician and technician attitudes towards XV lung imaging.</w:t>
            </w:r>
          </w:p>
          <w:p w14:paraId="2F94C1E5" w14:textId="77777777" w:rsidR="00F107FD" w:rsidRDefault="00000000">
            <w:pPr>
              <w:pBdr>
                <w:top w:val="nil"/>
                <w:left w:val="nil"/>
                <w:bottom w:val="nil"/>
                <w:right w:val="nil"/>
                <w:between w:val="nil"/>
              </w:pBdr>
              <w:spacing w:after="60"/>
              <w:jc w:val="both"/>
              <w:rPr>
                <w:rFonts w:ascii="Arial" w:eastAsia="Arial" w:hAnsi="Arial" w:cs="Arial"/>
                <w:sz w:val="22"/>
                <w:szCs w:val="22"/>
              </w:rPr>
            </w:pPr>
            <w:r>
              <w:rPr>
                <w:rFonts w:ascii="Arial" w:eastAsia="Arial" w:hAnsi="Arial" w:cs="Arial"/>
                <w:b/>
                <w:sz w:val="22"/>
                <w:szCs w:val="22"/>
              </w:rPr>
              <w:t>Methods:</w:t>
            </w:r>
            <w:r>
              <w:rPr>
                <w:rFonts w:ascii="Arial" w:eastAsia="Arial" w:hAnsi="Arial" w:cs="Arial"/>
                <w:sz w:val="22"/>
                <w:szCs w:val="22"/>
              </w:rPr>
              <w:t xml:space="preserve"> Clinical XV scans are acquired in two ways. Images are captured in a supine position using a fluoroscope from five different angles across the chest, or a dedicated XVD scanner captures lung motion at four simultaneous angles with the participant in a seated position. In both cases, XV scan information is analysed by 4DMedical’s XV LVAS software-as-a-service, generating a detailed 4D dataset that shows ventilation at every point within the lung and at every stage throughout the breath.</w:t>
            </w:r>
          </w:p>
          <w:p w14:paraId="78DF30F3" w14:textId="77777777" w:rsidR="00F107FD" w:rsidRDefault="00000000">
            <w:pPr>
              <w:pBdr>
                <w:top w:val="nil"/>
                <w:left w:val="nil"/>
                <w:bottom w:val="nil"/>
                <w:right w:val="nil"/>
                <w:between w:val="nil"/>
              </w:pBdr>
              <w:spacing w:after="60"/>
              <w:jc w:val="both"/>
              <w:rPr>
                <w:rFonts w:ascii="Arial" w:eastAsia="Arial" w:hAnsi="Arial" w:cs="Arial"/>
                <w:sz w:val="22"/>
                <w:szCs w:val="22"/>
              </w:rPr>
            </w:pPr>
            <w:r>
              <w:rPr>
                <w:rFonts w:ascii="Arial" w:eastAsia="Arial" w:hAnsi="Arial" w:cs="Arial"/>
                <w:b/>
                <w:sz w:val="22"/>
                <w:szCs w:val="22"/>
              </w:rPr>
              <w:t>Results:</w:t>
            </w:r>
            <w:r>
              <w:rPr>
                <w:rFonts w:ascii="Arial" w:eastAsia="Arial" w:hAnsi="Arial" w:cs="Arial"/>
                <w:sz w:val="22"/>
                <w:szCs w:val="22"/>
              </w:rPr>
              <w:t xml:space="preserve"> To date, XV studies have been performed in 20 children with CF, 3 with PCD, 8 pre-post </w:t>
            </w:r>
            <w:proofErr w:type="spellStart"/>
            <w:r>
              <w:rPr>
                <w:rFonts w:ascii="Arial" w:eastAsia="Arial" w:hAnsi="Arial" w:cs="Arial"/>
                <w:sz w:val="22"/>
                <w:szCs w:val="22"/>
              </w:rPr>
              <w:t>Trikafta</w:t>
            </w:r>
            <w:proofErr w:type="spellEnd"/>
            <w:r>
              <w:rPr>
                <w:rFonts w:ascii="Arial" w:eastAsia="Arial" w:hAnsi="Arial" w:cs="Arial"/>
                <w:sz w:val="22"/>
                <w:szCs w:val="22"/>
              </w:rPr>
              <w:t>, and 7 (control) children with no known lung disease. XV imaging revealed ventilation anomalies in each disease cohort not detected by traditional PFT's. Over the next 3 years we plan to utilise XVD scanner technology to expand our XV studies, including in children with asthma, at multiple centres around Australia.</w:t>
            </w:r>
          </w:p>
          <w:p w14:paraId="2565D46A" w14:textId="77777777" w:rsidR="00F107FD" w:rsidRDefault="00000000">
            <w:pPr>
              <w:pBdr>
                <w:top w:val="nil"/>
                <w:left w:val="nil"/>
                <w:bottom w:val="nil"/>
                <w:right w:val="nil"/>
                <w:between w:val="nil"/>
              </w:pBdr>
              <w:spacing w:after="60"/>
              <w:jc w:val="both"/>
              <w:rPr>
                <w:rFonts w:ascii="Arial" w:eastAsia="Arial" w:hAnsi="Arial" w:cs="Arial"/>
                <w:b/>
                <w:sz w:val="22"/>
                <w:szCs w:val="22"/>
              </w:rPr>
            </w:pPr>
            <w:r>
              <w:rPr>
                <w:rFonts w:ascii="Arial" w:eastAsia="Arial" w:hAnsi="Arial" w:cs="Arial"/>
                <w:b/>
                <w:sz w:val="22"/>
                <w:szCs w:val="22"/>
              </w:rPr>
              <w:t>Conclusions:</w:t>
            </w:r>
            <w:r>
              <w:rPr>
                <w:rFonts w:ascii="Arial" w:eastAsia="Arial" w:hAnsi="Arial" w:cs="Arial"/>
                <w:sz w:val="22"/>
                <w:szCs w:val="22"/>
              </w:rPr>
              <w:t xml:space="preserve"> There is a clear clinical need for new tools to assist with early diagnosis and accurate tracking of altered paediatric respiratory function, including where within the lung those changes originate, to reduce the impact of chronic lung disease. XV offers a rapid, non-invasive functional imaging that does not require active cooperation, making it especially suitable for younger children.  </w:t>
            </w:r>
          </w:p>
          <w:p w14:paraId="4E929CFB" w14:textId="77777777" w:rsidR="00F107FD" w:rsidRDefault="00000000">
            <w:pPr>
              <w:pBdr>
                <w:top w:val="nil"/>
                <w:left w:val="nil"/>
                <w:bottom w:val="nil"/>
                <w:right w:val="nil"/>
                <w:between w:val="nil"/>
              </w:pBdr>
              <w:spacing w:after="60"/>
              <w:jc w:val="both"/>
              <w:rPr>
                <w:rFonts w:ascii="Arial" w:eastAsia="Arial" w:hAnsi="Arial" w:cs="Arial"/>
                <w:b/>
                <w:color w:val="000000"/>
                <w:sz w:val="22"/>
                <w:szCs w:val="22"/>
              </w:rPr>
            </w:pPr>
            <w:r>
              <w:rPr>
                <w:rFonts w:ascii="Arial" w:eastAsia="Arial" w:hAnsi="Arial" w:cs="Arial"/>
                <w:b/>
                <w:color w:val="000000"/>
                <w:sz w:val="22"/>
                <w:szCs w:val="22"/>
              </w:rPr>
              <w:t xml:space="preserve">Grant Support: </w:t>
            </w:r>
            <w:r>
              <w:rPr>
                <w:rFonts w:ascii="Arial" w:eastAsia="Arial" w:hAnsi="Arial" w:cs="Arial"/>
                <w:color w:val="000000"/>
                <w:sz w:val="22"/>
                <w:szCs w:val="22"/>
              </w:rPr>
              <w:t xml:space="preserve">This work is supported by </w:t>
            </w:r>
            <w:r>
              <w:rPr>
                <w:rFonts w:ascii="Arial" w:eastAsia="Arial" w:hAnsi="Arial" w:cs="Arial"/>
                <w:sz w:val="22"/>
                <w:szCs w:val="22"/>
              </w:rPr>
              <w:t>Medical Research Future Fund Grants RFRHPSI000013 and 2045660, AEA Innovate grant IV240100090, and a grant from 4DMedical.</w:t>
            </w:r>
          </w:p>
        </w:tc>
      </w:tr>
    </w:tbl>
    <w:p w14:paraId="4CA30B5C" w14:textId="77777777" w:rsidR="00F107FD" w:rsidRDefault="00F107FD"/>
    <w:sectPr w:rsidR="00F107FD">
      <w:headerReference w:type="even" r:id="rId6"/>
      <w:headerReference w:type="default" r:id="rId7"/>
      <w:footerReference w:type="even" r:id="rId8"/>
      <w:footerReference w:type="default" r:id="rId9"/>
      <w:headerReference w:type="first" r:id="rId10"/>
      <w:footerReference w:type="first" r:id="rId11"/>
      <w:pgSz w:w="11906" w:h="16838"/>
      <w:pgMar w:top="1440" w:right="1797" w:bottom="1440" w:left="179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A65B1" w14:textId="77777777" w:rsidR="00A9744F" w:rsidRDefault="00A9744F">
      <w:r>
        <w:separator/>
      </w:r>
    </w:p>
  </w:endnote>
  <w:endnote w:type="continuationSeparator" w:id="0">
    <w:p w14:paraId="4DFD28AA" w14:textId="77777777" w:rsidR="00A9744F" w:rsidRDefault="00A97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BC3112-E458-45C3-BB19-E343EF533E24}"/>
    <w:embedItalic r:id="rId2" w:fontKey="{39354E6E-FF63-4651-AA3D-07315D25712E}"/>
  </w:font>
  <w:font w:name="Georgia">
    <w:panose1 w:val="02040502050405020303"/>
    <w:charset w:val="00"/>
    <w:family w:val="roman"/>
    <w:pitch w:val="variable"/>
    <w:sig w:usb0="00000287" w:usb1="00000000" w:usb2="00000000" w:usb3="00000000" w:csb0="0000009F" w:csb1="00000000"/>
    <w:embedRegular r:id="rId3" w:fontKey="{A0122C82-B5D6-4EB8-BB19-C2DEA98F3D29}"/>
    <w:embedItalic r:id="rId4" w:fontKey="{95A94B4E-5EAA-423E-95AE-E7DD0327E68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EC56DD7A-3229-48AD-8A99-8C3E966F9B08}"/>
    <w:embedBold r:id="rId6" w:fontKey="{9275885B-9E6A-4037-8961-50D8B44A3E37}"/>
  </w:font>
  <w:font w:name="Cambria">
    <w:panose1 w:val="02040503050406030204"/>
    <w:charset w:val="00"/>
    <w:family w:val="roman"/>
    <w:pitch w:val="variable"/>
    <w:sig w:usb0="E00006FF" w:usb1="420024FF" w:usb2="02000000" w:usb3="00000000" w:csb0="0000019F" w:csb1="00000000"/>
    <w:embedRegular r:id="rId7" w:fontKey="{E65696A9-E08E-4EDD-BC90-AB6F249C9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8AB9" w14:textId="77777777" w:rsidR="00F107FD"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1312" behindDoc="0" locked="0" layoutInCell="1" hidden="0" allowOverlap="1" wp14:anchorId="165B53C8" wp14:editId="48A9E377">
              <wp:simplePos x="0" y="0"/>
              <wp:positionH relativeFrom="column">
                <wp:posOffset>1714500</wp:posOffset>
              </wp:positionH>
              <wp:positionV relativeFrom="paragraph">
                <wp:posOffset>0</wp:posOffset>
              </wp:positionV>
              <wp:extent cx="453390" cy="453390"/>
              <wp:effectExtent l="0" t="0" r="0" b="0"/>
              <wp:wrapNone/>
              <wp:docPr id="4" name="Rectangle 4"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BD17C6D" w14:textId="77777777" w:rsidR="00F107FD" w:rsidRDefault="00000000">
                          <w:pPr>
                            <w:textDirection w:val="btLr"/>
                          </w:pPr>
                          <w:r>
                            <w:rPr>
                              <w:rFonts w:ascii="Arial" w:eastAsia="Arial" w:hAnsi="Arial" w:cs="Arial"/>
                              <w:color w:val="A80000"/>
                            </w:rPr>
                            <w:t xml:space="preserve">OFFICIAL </w:t>
                          </w:r>
                        </w:p>
                      </w:txbxContent>
                    </wps:txbx>
                    <wps:bodyPr spcFirstLastPara="1" wrap="square" lIns="0" tIns="0" rIns="0" bIns="190500" anchor="b" anchorCtr="0">
                      <a:noAutofit/>
                    </wps:bodyPr>
                  </wps:wsp>
                </a:graphicData>
              </a:graphic>
            </wp:anchor>
          </w:drawing>
        </mc:Choice>
        <mc:Fallback>
          <w:pict>
            <v:rect w14:anchorId="165B53C8" id="Rectangle 4" o:spid="_x0000_s1027" alt="OFFICIAL "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6BD17C6D" w14:textId="77777777" w:rsidR="00F107FD" w:rsidRDefault="00000000">
                    <w:pPr>
                      <w:textDirection w:val="btLr"/>
                    </w:pPr>
                    <w:r>
                      <w:rPr>
                        <w:rFonts w:ascii="Arial" w:eastAsia="Arial" w:hAnsi="Arial" w:cs="Arial"/>
                        <w:color w:val="A80000"/>
                      </w:rPr>
                      <w:t xml:space="preserve">OFFICIAL </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147C" w14:textId="77777777" w:rsidR="00F107FD" w:rsidRDefault="00F107FD">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5D55" w14:textId="77777777" w:rsidR="00F107FD"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0288" behindDoc="0" locked="0" layoutInCell="1" hidden="0" allowOverlap="1" wp14:anchorId="5A733777" wp14:editId="1123C1E6">
              <wp:simplePos x="0" y="0"/>
              <wp:positionH relativeFrom="column">
                <wp:posOffset>1714500</wp:posOffset>
              </wp:positionH>
              <wp:positionV relativeFrom="paragraph">
                <wp:posOffset>0</wp:posOffset>
              </wp:positionV>
              <wp:extent cx="453390" cy="453390"/>
              <wp:effectExtent l="0" t="0" r="0" b="0"/>
              <wp:wrapNone/>
              <wp:docPr id="3" name="Rectangle 3"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588BBEC" w14:textId="77777777" w:rsidR="00F107FD" w:rsidRDefault="00000000">
                          <w:pPr>
                            <w:textDirection w:val="btLr"/>
                          </w:pPr>
                          <w:r>
                            <w:rPr>
                              <w:rFonts w:ascii="Arial" w:eastAsia="Arial" w:hAnsi="Arial" w:cs="Arial"/>
                              <w:color w:val="A80000"/>
                            </w:rPr>
                            <w:t xml:space="preserve">OFFICIAL </w:t>
                          </w:r>
                        </w:p>
                      </w:txbxContent>
                    </wps:txbx>
                    <wps:bodyPr spcFirstLastPara="1" wrap="square" lIns="0" tIns="0" rIns="0" bIns="190500" anchor="b" anchorCtr="0">
                      <a:noAutofit/>
                    </wps:bodyPr>
                  </wps:wsp>
                </a:graphicData>
              </a:graphic>
            </wp:anchor>
          </w:drawing>
        </mc:Choice>
        <mc:Fallback>
          <w:pict>
            <v:rect w14:anchorId="5A733777" id="Rectangle 3" o:spid="_x0000_s1029" alt="OFFICIAL " style="position:absolute;margin-left:135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0588BBEC" w14:textId="77777777" w:rsidR="00F107FD" w:rsidRDefault="00000000">
                    <w:pPr>
                      <w:textDirection w:val="btLr"/>
                    </w:pPr>
                    <w:r>
                      <w:rPr>
                        <w:rFonts w:ascii="Arial" w:eastAsia="Arial" w:hAnsi="Arial" w:cs="Arial"/>
                        <w:color w:val="A80000"/>
                      </w:rPr>
                      <w:t xml:space="preserve">OFFICIAL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93996" w14:textId="77777777" w:rsidR="00A9744F" w:rsidRDefault="00A9744F">
      <w:r>
        <w:separator/>
      </w:r>
    </w:p>
  </w:footnote>
  <w:footnote w:type="continuationSeparator" w:id="0">
    <w:p w14:paraId="02579B93" w14:textId="77777777" w:rsidR="00A9744F" w:rsidRDefault="00A97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B7A9" w14:textId="77777777" w:rsidR="00F107FD"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0C941476" wp14:editId="27E1A3F2">
              <wp:simplePos x="0" y="0"/>
              <wp:positionH relativeFrom="page">
                <wp:align>center</wp:align>
              </wp:positionH>
              <wp:positionV relativeFrom="page">
                <wp:align>top</wp:align>
              </wp:positionV>
              <wp:extent cx="453390" cy="453390"/>
              <wp:effectExtent l="0" t="0" r="0" b="0"/>
              <wp:wrapNone/>
              <wp:docPr id="2" name="Rectangle 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5F3E6F" w14:textId="77777777" w:rsidR="00F107FD" w:rsidRDefault="00000000">
                          <w:pPr>
                            <w:textDirection w:val="btLr"/>
                          </w:pPr>
                          <w:r>
                            <w:rPr>
                              <w:rFonts w:ascii="Arial" w:eastAsia="Arial" w:hAnsi="Arial" w:cs="Arial"/>
                              <w:color w:val="A80000"/>
                            </w:rPr>
                            <w:t>OFFICIAL</w:t>
                          </w:r>
                        </w:p>
                      </w:txbxContent>
                    </wps:txbx>
                    <wps:bodyPr spcFirstLastPara="1" wrap="square" lIns="0" tIns="190500" rIns="0" bIns="0" anchor="t" anchorCtr="0">
                      <a:noAutofit/>
                    </wps:bodyPr>
                  </wps:wsp>
                </a:graphicData>
              </a:graphic>
            </wp:anchor>
          </w:drawing>
        </mc:Choice>
        <mc:Fallback>
          <w:pict>
            <v:rect w14:anchorId="0C941476" id="Rectangle 2" o:spid="_x0000_s1026" alt="OFFICIAL"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265F3E6F" w14:textId="77777777" w:rsidR="00F107FD" w:rsidRDefault="00000000">
                    <w:pPr>
                      <w:textDirection w:val="btLr"/>
                    </w:pPr>
                    <w:r>
                      <w:rPr>
                        <w:rFonts w:ascii="Arial" w:eastAsia="Arial" w:hAnsi="Arial" w:cs="Arial"/>
                        <w:color w:val="A8000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7B1B" w14:textId="77777777" w:rsidR="00F107FD" w:rsidRDefault="00F107FD">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378C" w14:textId="77777777" w:rsidR="00F107FD"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388834D5" wp14:editId="5C5F98BB">
              <wp:simplePos x="0" y="0"/>
              <wp:positionH relativeFrom="page">
                <wp:align>center</wp:align>
              </wp:positionH>
              <wp:positionV relativeFrom="page">
                <wp:align>top</wp:align>
              </wp:positionV>
              <wp:extent cx="453390" cy="453390"/>
              <wp:effectExtent l="0" t="0" r="0" b="0"/>
              <wp:wrapNone/>
              <wp:docPr id="1" name="Rectangle 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3D25D16" w14:textId="77777777" w:rsidR="00F107FD" w:rsidRDefault="00000000">
                          <w:pPr>
                            <w:textDirection w:val="btLr"/>
                          </w:pPr>
                          <w:r>
                            <w:rPr>
                              <w:rFonts w:ascii="Arial" w:eastAsia="Arial" w:hAnsi="Arial" w:cs="Arial"/>
                              <w:color w:val="A80000"/>
                            </w:rPr>
                            <w:t>OFFICIAL</w:t>
                          </w:r>
                        </w:p>
                      </w:txbxContent>
                    </wps:txbx>
                    <wps:bodyPr spcFirstLastPara="1" wrap="square" lIns="0" tIns="190500" rIns="0" bIns="0" anchor="t" anchorCtr="0">
                      <a:noAutofit/>
                    </wps:bodyPr>
                  </wps:wsp>
                </a:graphicData>
              </a:graphic>
            </wp:anchor>
          </w:drawing>
        </mc:Choice>
        <mc:Fallback>
          <w:pict>
            <v:rect w14:anchorId="388834D5" id="Rectangle 1" o:spid="_x0000_s1028" alt="OFFIC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23D25D16" w14:textId="77777777" w:rsidR="00F107FD" w:rsidRDefault="00000000">
                    <w:pPr>
                      <w:textDirection w:val="btLr"/>
                    </w:pPr>
                    <w:r>
                      <w:rPr>
                        <w:rFonts w:ascii="Arial" w:eastAsia="Arial" w:hAnsi="Arial" w:cs="Arial"/>
                        <w:color w:val="A80000"/>
                      </w:rPr>
                      <w:t>OFFICIAL</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FD"/>
    <w:rsid w:val="002C16A4"/>
    <w:rsid w:val="00611CAD"/>
    <w:rsid w:val="00A9744F"/>
    <w:rsid w:val="00F107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58ABD"/>
  <w15:docId w15:val="{6565F41B-8869-4132-832B-793BB19D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476</Words>
  <Characters>2716</Characters>
  <Application>Microsoft Office Word</Application>
  <DocSecurity>0</DocSecurity>
  <Lines>22</Lines>
  <Paragraphs>6</Paragraphs>
  <ScaleCrop>false</ScaleCrop>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Donnelley</cp:lastModifiedBy>
  <cp:revision>2</cp:revision>
  <dcterms:created xsi:type="dcterms:W3CDTF">2025-10-07T22:48:00Z</dcterms:created>
  <dcterms:modified xsi:type="dcterms:W3CDTF">2025-10-07T22:48:00Z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MediaServiceImageTags</vt:lpwstr>
  </property>
  <property fmtid="{D5CDD505-2E9C-101B-9397-08002B2CF9AE}" pid="4" name="ClassificationContentMarkingHeaderShapeIds">
    <vt:lpwstr>1,2,3</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4,5,6</vt:lpwstr>
  </property>
  <property fmtid="{D5CDD505-2E9C-101B-9397-08002B2CF9AE}" pid="8" name="ClassificationContentMarkingFooterFontProps">
    <vt:lpwstr>#a80000,12,arial</vt:lpwstr>
  </property>
  <property fmtid="{D5CDD505-2E9C-101B-9397-08002B2CF9AE}" pid="9" name="ClassificationContentMarkingFooterText">
    <vt:lpwstr>OFFICIAL</vt:lpwstr>
  </property>
</Properties>
</file>