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2C7347AD" w:rsidR="001564A4" w:rsidRPr="0050053A" w:rsidRDefault="00650A98" w:rsidP="000A28E2">
            <w:pPr>
              <w:spacing w:before="120" w:after="120"/>
              <w:rPr>
                <w:rFonts w:ascii="Arial" w:hAnsi="Arial" w:cs="Arial"/>
                <w:b/>
                <w:sz w:val="22"/>
                <w:szCs w:val="22"/>
                <w:lang w:val="en-US" w:eastAsia="zh-CN"/>
              </w:rPr>
            </w:pPr>
            <w:r w:rsidRPr="00650A98">
              <w:rPr>
                <w:rFonts w:ascii="Arial" w:hAnsi="Arial" w:cs="Arial"/>
                <w:b/>
                <w:bCs/>
                <w:sz w:val="22"/>
                <w:szCs w:val="22"/>
                <w:lang w:eastAsia="en-GB"/>
              </w:rPr>
              <w:t xml:space="preserve">Localised </w:t>
            </w:r>
            <w:r w:rsidRPr="00650A98">
              <w:rPr>
                <w:rFonts w:ascii="Arial" w:hAnsi="Arial" w:cs="Arial"/>
                <w:b/>
                <w:bCs/>
                <w:i/>
                <w:iCs/>
                <w:sz w:val="22"/>
                <w:szCs w:val="22"/>
                <w:lang w:eastAsia="en-GB"/>
              </w:rPr>
              <w:t>pseudomonas aeruginosa</w:t>
            </w:r>
            <w:r w:rsidRPr="00650A98">
              <w:rPr>
                <w:rFonts w:ascii="Arial" w:hAnsi="Arial" w:cs="Arial"/>
                <w:b/>
                <w:bCs/>
                <w:sz w:val="22"/>
                <w:szCs w:val="22"/>
                <w:lang w:eastAsia="en-GB"/>
              </w:rPr>
              <w:t xml:space="preserve"> lung infection in cystic fibrosis rat models</w:t>
            </w:r>
          </w:p>
        </w:tc>
      </w:tr>
      <w:tr w:rsidR="001564A4" w:rsidRPr="0050053A" w14:paraId="0E2E035C" w14:textId="77777777" w:rsidTr="000A28E2">
        <w:trPr>
          <w:jc w:val="center"/>
        </w:trPr>
        <w:tc>
          <w:tcPr>
            <w:tcW w:w="8640" w:type="dxa"/>
            <w:shd w:val="clear" w:color="auto" w:fill="auto"/>
          </w:tcPr>
          <w:p w14:paraId="73B55295" w14:textId="24D8B35B" w:rsidR="001564A4" w:rsidRPr="00413B94" w:rsidRDefault="00650A98" w:rsidP="000A28E2">
            <w:pPr>
              <w:spacing w:before="120" w:after="120"/>
              <w:rPr>
                <w:rFonts w:ascii="Arial" w:hAnsi="Arial" w:cs="Arial"/>
                <w:sz w:val="22"/>
                <w:szCs w:val="22"/>
                <w:u w:val="single"/>
                <w:lang w:eastAsia="zh-CN"/>
              </w:rPr>
            </w:pPr>
            <w:r w:rsidRPr="00650A98">
              <w:rPr>
                <w:rFonts w:ascii="Arial" w:hAnsi="Arial" w:cs="Arial"/>
                <w:sz w:val="22"/>
                <w:szCs w:val="22"/>
                <w:lang w:eastAsia="en-GB"/>
              </w:rPr>
              <w:t>Nicole Reyne</w:t>
            </w:r>
            <w:r w:rsidRPr="00650A98">
              <w:rPr>
                <w:rFonts w:ascii="Arial" w:hAnsi="Arial" w:cs="Arial"/>
                <w:sz w:val="22"/>
                <w:szCs w:val="22"/>
                <w:vertAlign w:val="superscript"/>
                <w:lang w:eastAsia="en-GB"/>
              </w:rPr>
              <w:t>1-3</w:t>
            </w:r>
            <w:r w:rsidRPr="00650A98">
              <w:rPr>
                <w:rFonts w:ascii="Arial" w:hAnsi="Arial" w:cs="Arial"/>
                <w:sz w:val="22"/>
                <w:szCs w:val="22"/>
                <w:lang w:eastAsia="en-GB"/>
              </w:rPr>
              <w:t>, Bernadette Boog</w:t>
            </w:r>
            <w:r w:rsidRPr="00650A98">
              <w:rPr>
                <w:rFonts w:ascii="Arial" w:hAnsi="Arial" w:cs="Arial"/>
                <w:sz w:val="22"/>
                <w:szCs w:val="22"/>
                <w:vertAlign w:val="superscript"/>
                <w:lang w:eastAsia="en-GB"/>
              </w:rPr>
              <w:t>1-3</w:t>
            </w:r>
            <w:r w:rsidRPr="00650A98">
              <w:rPr>
                <w:rFonts w:ascii="Arial" w:hAnsi="Arial" w:cs="Arial"/>
                <w:sz w:val="22"/>
                <w:szCs w:val="22"/>
                <w:lang w:eastAsia="en-GB"/>
              </w:rPr>
              <w:t>, Patricia Cmielewski</w:t>
            </w:r>
            <w:r w:rsidRPr="00650A98">
              <w:rPr>
                <w:rFonts w:ascii="Arial" w:hAnsi="Arial" w:cs="Arial"/>
                <w:sz w:val="22"/>
                <w:szCs w:val="22"/>
                <w:vertAlign w:val="superscript"/>
                <w:lang w:eastAsia="en-GB"/>
              </w:rPr>
              <w:t>1-3</w:t>
            </w:r>
            <w:r w:rsidRPr="00650A98">
              <w:rPr>
                <w:rFonts w:ascii="Arial" w:hAnsi="Arial" w:cs="Arial"/>
                <w:sz w:val="22"/>
                <w:szCs w:val="22"/>
                <w:lang w:eastAsia="en-GB"/>
              </w:rPr>
              <w:t>, Alexandra McCarron</w:t>
            </w:r>
            <w:r w:rsidRPr="00650A98">
              <w:rPr>
                <w:rFonts w:ascii="Arial" w:hAnsi="Arial" w:cs="Arial"/>
                <w:sz w:val="22"/>
                <w:szCs w:val="22"/>
                <w:vertAlign w:val="superscript"/>
                <w:lang w:eastAsia="en-GB"/>
              </w:rPr>
              <w:t>1-3</w:t>
            </w:r>
            <w:r w:rsidRPr="00650A98">
              <w:rPr>
                <w:rFonts w:ascii="Arial" w:hAnsi="Arial" w:cs="Arial"/>
                <w:sz w:val="22"/>
                <w:szCs w:val="22"/>
                <w:lang w:eastAsia="en-GB"/>
              </w:rPr>
              <w:t>, Ronan Smith</w:t>
            </w:r>
            <w:r w:rsidRPr="00650A98">
              <w:rPr>
                <w:rFonts w:ascii="Arial" w:hAnsi="Arial" w:cs="Arial"/>
                <w:sz w:val="22"/>
                <w:szCs w:val="22"/>
                <w:vertAlign w:val="superscript"/>
                <w:lang w:eastAsia="en-GB"/>
              </w:rPr>
              <w:t>1-3</w:t>
            </w:r>
            <w:r w:rsidRPr="00650A98">
              <w:rPr>
                <w:rFonts w:ascii="Arial" w:hAnsi="Arial" w:cs="Arial"/>
                <w:sz w:val="22"/>
                <w:szCs w:val="22"/>
                <w:lang w:eastAsia="en-GB"/>
              </w:rPr>
              <w:t>, Nina Eikelis</w:t>
            </w:r>
            <w:r w:rsidRPr="00650A98">
              <w:rPr>
                <w:rFonts w:ascii="Arial" w:hAnsi="Arial" w:cs="Arial"/>
                <w:sz w:val="22"/>
                <w:szCs w:val="22"/>
                <w:vertAlign w:val="superscript"/>
                <w:lang w:eastAsia="en-GB"/>
              </w:rPr>
              <w:t>4</w:t>
            </w:r>
            <w:r w:rsidRPr="00650A98">
              <w:rPr>
                <w:rFonts w:ascii="Arial" w:hAnsi="Arial" w:cs="Arial"/>
                <w:sz w:val="22"/>
                <w:szCs w:val="22"/>
                <w:lang w:eastAsia="en-GB"/>
              </w:rPr>
              <w:t>, Kris Nilsen</w:t>
            </w:r>
            <w:r w:rsidRPr="00650A98">
              <w:rPr>
                <w:rFonts w:ascii="Arial" w:hAnsi="Arial" w:cs="Arial"/>
                <w:sz w:val="22"/>
                <w:szCs w:val="22"/>
                <w:vertAlign w:val="superscript"/>
                <w:lang w:eastAsia="en-GB"/>
              </w:rPr>
              <w:t>4</w:t>
            </w:r>
            <w:r w:rsidRPr="00650A98">
              <w:rPr>
                <w:rFonts w:ascii="Arial" w:hAnsi="Arial" w:cs="Arial"/>
                <w:sz w:val="22"/>
                <w:szCs w:val="22"/>
                <w:lang w:eastAsia="en-GB"/>
              </w:rPr>
              <w:t>, John Finnie</w:t>
            </w:r>
            <w:r w:rsidRPr="00650A98">
              <w:rPr>
                <w:rFonts w:ascii="Arial" w:hAnsi="Arial" w:cs="Arial"/>
                <w:sz w:val="22"/>
                <w:szCs w:val="22"/>
                <w:vertAlign w:val="superscript"/>
                <w:lang w:eastAsia="en-GB"/>
              </w:rPr>
              <w:t>2</w:t>
            </w:r>
            <w:r w:rsidRPr="00650A98">
              <w:rPr>
                <w:rFonts w:ascii="Arial" w:hAnsi="Arial" w:cs="Arial"/>
                <w:sz w:val="22"/>
                <w:szCs w:val="22"/>
                <w:lang w:eastAsia="en-GB"/>
              </w:rPr>
              <w:t>, Jennie Louise</w:t>
            </w:r>
            <w:r w:rsidRPr="00650A98">
              <w:rPr>
                <w:rFonts w:ascii="Arial" w:hAnsi="Arial" w:cs="Arial"/>
                <w:sz w:val="22"/>
                <w:szCs w:val="22"/>
                <w:vertAlign w:val="superscript"/>
                <w:lang w:eastAsia="en-GB"/>
              </w:rPr>
              <w:t>5</w:t>
            </w:r>
            <w:r w:rsidRPr="00650A98">
              <w:rPr>
                <w:rFonts w:ascii="Arial" w:hAnsi="Arial" w:cs="Arial"/>
                <w:sz w:val="22"/>
                <w:szCs w:val="22"/>
                <w:lang w:eastAsia="en-GB"/>
              </w:rPr>
              <w:t>, David Parsons</w:t>
            </w:r>
            <w:r w:rsidRPr="00650A98">
              <w:rPr>
                <w:rFonts w:ascii="Arial" w:hAnsi="Arial" w:cs="Arial"/>
                <w:sz w:val="22"/>
                <w:szCs w:val="22"/>
                <w:vertAlign w:val="superscript"/>
                <w:lang w:eastAsia="en-GB"/>
              </w:rPr>
              <w:t>1-3</w:t>
            </w:r>
            <w:r w:rsidRPr="00650A98">
              <w:rPr>
                <w:rFonts w:ascii="Arial" w:hAnsi="Arial" w:cs="Arial"/>
                <w:sz w:val="22"/>
                <w:szCs w:val="22"/>
                <w:lang w:eastAsia="en-GB"/>
              </w:rPr>
              <w:t xml:space="preserve"> and Martin Donnelley</w:t>
            </w:r>
            <w:r w:rsidRPr="00650A98">
              <w:rPr>
                <w:rFonts w:ascii="Arial" w:hAnsi="Arial" w:cs="Arial"/>
                <w:sz w:val="22"/>
                <w:szCs w:val="22"/>
                <w:vertAlign w:val="superscript"/>
                <w:lang w:eastAsia="en-GB"/>
              </w:rPr>
              <w:t>1-3</w:t>
            </w:r>
            <w:r w:rsidRPr="00650A98">
              <w:rPr>
                <w:rFonts w:ascii="Arial" w:hAnsi="Arial" w:cs="Arial"/>
                <w:sz w:val="22"/>
                <w:szCs w:val="22"/>
                <w:lang w:eastAsia="en-GB"/>
              </w:rPr>
              <w:t>.</w:t>
            </w:r>
          </w:p>
        </w:tc>
      </w:tr>
      <w:tr w:rsidR="001564A4" w:rsidRPr="0050053A" w14:paraId="385A19D9" w14:textId="77777777" w:rsidTr="000A28E2">
        <w:trPr>
          <w:trHeight w:val="136"/>
          <w:jc w:val="center"/>
        </w:trPr>
        <w:tc>
          <w:tcPr>
            <w:tcW w:w="8640" w:type="dxa"/>
            <w:shd w:val="clear" w:color="auto" w:fill="auto"/>
          </w:tcPr>
          <w:p w14:paraId="5D01EF30" w14:textId="77777777" w:rsidR="00650A98" w:rsidRPr="00650A98" w:rsidRDefault="00650A98" w:rsidP="00650A98">
            <w:pPr>
              <w:spacing w:before="120" w:after="120"/>
              <w:rPr>
                <w:rFonts w:ascii="Arial" w:hAnsi="Arial" w:cs="Arial"/>
                <w:i/>
                <w:sz w:val="22"/>
                <w:szCs w:val="22"/>
                <w:lang w:val="en-AU" w:eastAsia="en-GB"/>
              </w:rPr>
            </w:pPr>
            <w:r w:rsidRPr="00650A98">
              <w:rPr>
                <w:rFonts w:ascii="Arial" w:hAnsi="Arial" w:cs="Arial"/>
                <w:i/>
                <w:sz w:val="22"/>
                <w:szCs w:val="22"/>
                <w:lang w:val="en-AU" w:eastAsia="en-GB"/>
              </w:rPr>
              <w:t>1 Robinson Research Institute, University of Adelaide, Adelaide, South Australia, Australia</w:t>
            </w:r>
          </w:p>
          <w:p w14:paraId="2E41E805" w14:textId="77777777" w:rsidR="00650A98" w:rsidRPr="00650A98" w:rsidRDefault="00650A98" w:rsidP="00650A98">
            <w:pPr>
              <w:spacing w:before="120" w:after="120"/>
              <w:rPr>
                <w:rFonts w:ascii="Arial" w:hAnsi="Arial" w:cs="Arial"/>
                <w:i/>
                <w:sz w:val="22"/>
                <w:szCs w:val="22"/>
                <w:lang w:val="en-AU" w:eastAsia="en-GB"/>
              </w:rPr>
            </w:pPr>
            <w:r w:rsidRPr="00650A98">
              <w:rPr>
                <w:rFonts w:ascii="Arial" w:hAnsi="Arial" w:cs="Arial"/>
                <w:i/>
                <w:sz w:val="22"/>
                <w:szCs w:val="22"/>
                <w:lang w:val="en-AU" w:eastAsia="en-GB"/>
              </w:rPr>
              <w:t>2 Adelaide Medical School, University of Adelaide, Adelaide, South Australia, Australia</w:t>
            </w:r>
          </w:p>
          <w:p w14:paraId="316ECAA7" w14:textId="77777777" w:rsidR="00650A98" w:rsidRPr="00650A98" w:rsidRDefault="00650A98" w:rsidP="00650A98">
            <w:pPr>
              <w:spacing w:before="120" w:after="120"/>
              <w:rPr>
                <w:rFonts w:ascii="Arial" w:hAnsi="Arial" w:cs="Arial"/>
                <w:i/>
                <w:sz w:val="22"/>
                <w:szCs w:val="22"/>
                <w:lang w:val="en-AU" w:eastAsia="en-GB"/>
              </w:rPr>
            </w:pPr>
            <w:r w:rsidRPr="00650A98">
              <w:rPr>
                <w:rFonts w:ascii="Arial" w:hAnsi="Arial" w:cs="Arial"/>
                <w:i/>
                <w:sz w:val="22"/>
                <w:szCs w:val="22"/>
                <w:lang w:val="en-AU" w:eastAsia="en-GB"/>
              </w:rPr>
              <w:t>3 Respiratory and Sleep Medicine, Women's and Children's Hospital, Adelaide, South Australia, Australia</w:t>
            </w:r>
          </w:p>
          <w:p w14:paraId="02614369" w14:textId="77777777" w:rsidR="00650A98" w:rsidRPr="00650A98" w:rsidRDefault="00650A98" w:rsidP="00650A98">
            <w:pPr>
              <w:spacing w:before="120" w:after="120"/>
              <w:rPr>
                <w:rFonts w:ascii="Arial" w:hAnsi="Arial" w:cs="Arial"/>
                <w:i/>
                <w:sz w:val="22"/>
                <w:szCs w:val="22"/>
                <w:lang w:val="en-AU" w:eastAsia="en-GB"/>
              </w:rPr>
            </w:pPr>
            <w:r w:rsidRPr="00650A98">
              <w:rPr>
                <w:rFonts w:ascii="Arial" w:hAnsi="Arial" w:cs="Arial"/>
                <w:i/>
                <w:sz w:val="22"/>
                <w:szCs w:val="22"/>
                <w:lang w:val="en-AU" w:eastAsia="en-GB"/>
              </w:rPr>
              <w:t>4 4DMedical, Melbourne, Victoria, Australia</w:t>
            </w:r>
          </w:p>
          <w:p w14:paraId="45ED36BF" w14:textId="6863C558" w:rsidR="001564A4" w:rsidRPr="0050053A" w:rsidRDefault="00650A98" w:rsidP="00650A98">
            <w:pPr>
              <w:spacing w:before="120" w:after="120"/>
              <w:rPr>
                <w:rFonts w:ascii="Arial" w:hAnsi="Arial" w:cs="Arial"/>
                <w:i/>
                <w:sz w:val="22"/>
                <w:szCs w:val="22"/>
                <w:lang w:val="en-US" w:eastAsia="en-GB"/>
              </w:rPr>
            </w:pPr>
            <w:r w:rsidRPr="00650A98">
              <w:rPr>
                <w:rFonts w:ascii="Arial" w:hAnsi="Arial" w:cs="Arial"/>
                <w:i/>
                <w:sz w:val="22"/>
                <w:szCs w:val="22"/>
                <w:lang w:val="en-AU" w:eastAsia="en-GB"/>
              </w:rPr>
              <w:t>5 Biostatistics Unit, South Australian Health and Medical Research Institute, Adelaide, South Australia, Australia</w:t>
            </w:r>
          </w:p>
        </w:tc>
      </w:tr>
      <w:tr w:rsidR="001564A4" w:rsidRPr="0050053A" w14:paraId="6DAF615A" w14:textId="77777777" w:rsidTr="000A28E2">
        <w:trPr>
          <w:trHeight w:hRule="exact" w:val="7352"/>
          <w:jc w:val="center"/>
        </w:trPr>
        <w:tc>
          <w:tcPr>
            <w:tcW w:w="8640" w:type="dxa"/>
            <w:shd w:val="clear" w:color="auto" w:fill="auto"/>
          </w:tcPr>
          <w:p w14:paraId="739E7937" w14:textId="77777777" w:rsidR="001564A4" w:rsidRPr="0050053A" w:rsidRDefault="001564A4" w:rsidP="000A28E2">
            <w:pPr>
              <w:pStyle w:val="Pa12"/>
              <w:rPr>
                <w:rStyle w:val="A4"/>
              </w:rPr>
            </w:pPr>
            <w:r>
              <w:rPr>
                <w:rStyle w:val="A4"/>
                <w:b/>
                <w:bCs/>
              </w:rPr>
              <w:t>Introduction/</w:t>
            </w:r>
            <w:r w:rsidRPr="0050053A">
              <w:rPr>
                <w:rStyle w:val="A4"/>
                <w:b/>
                <w:bCs/>
              </w:rPr>
              <w:t xml:space="preserve">Aim: </w:t>
            </w:r>
          </w:p>
          <w:p w14:paraId="3D770CF7" w14:textId="7362FD47" w:rsidR="001564A4" w:rsidRPr="0050053A" w:rsidRDefault="00650A98" w:rsidP="000A28E2">
            <w:pPr>
              <w:pStyle w:val="Pa12"/>
              <w:rPr>
                <w:rStyle w:val="A4"/>
                <w:bCs/>
              </w:rPr>
            </w:pPr>
            <w:r w:rsidRPr="00650A98">
              <w:rPr>
                <w:sz w:val="22"/>
                <w:szCs w:val="22"/>
                <w:lang w:val="en-GB"/>
              </w:rPr>
              <w:t xml:space="preserve">Recurrent </w:t>
            </w:r>
            <w:r w:rsidRPr="00650A98">
              <w:rPr>
                <w:i/>
                <w:iCs/>
                <w:sz w:val="22"/>
                <w:szCs w:val="22"/>
                <w:lang w:val="en-GB"/>
              </w:rPr>
              <w:t>Pseudomonas aeruginosa</w:t>
            </w:r>
            <w:r w:rsidRPr="00650A98">
              <w:rPr>
                <w:sz w:val="22"/>
                <w:szCs w:val="22"/>
                <w:lang w:val="en-GB"/>
              </w:rPr>
              <w:t xml:space="preserve"> infections cause chronic airway inflammation, lung damage and eventual respiratory failure, leading to high morbidity and mortality in people with CF. While CF animal models reflect different aspects of CF pathophysiology, few fully replicate </w:t>
            </w:r>
            <w:proofErr w:type="gramStart"/>
            <w:r w:rsidRPr="00650A98">
              <w:rPr>
                <w:sz w:val="22"/>
                <w:szCs w:val="22"/>
                <w:lang w:val="en-GB"/>
              </w:rPr>
              <w:t>lung</w:t>
            </w:r>
            <w:proofErr w:type="gramEnd"/>
            <w:r w:rsidRPr="00650A98">
              <w:rPr>
                <w:sz w:val="22"/>
                <w:szCs w:val="22"/>
                <w:lang w:val="en-GB"/>
              </w:rPr>
              <w:t xml:space="preserve"> disease. Introducing bacteria that are embedded in agar beads into wildtype and CF animal lungs can stimulate persisting lung infections that mimic the chronic nature of clinical CF infections. This study evaluated a localised CF-like lung infection model in WT and two CF rat models.</w:t>
            </w: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6BF3F094" w14:textId="6C7EC979" w:rsidR="001564A4" w:rsidRPr="00650A98" w:rsidRDefault="00650A98" w:rsidP="000A28E2">
            <w:pPr>
              <w:pStyle w:val="Pa12"/>
              <w:rPr>
                <w:rStyle w:val="A4"/>
                <w:color w:val="auto"/>
              </w:rPr>
            </w:pPr>
            <w:r w:rsidRPr="00650A98">
              <w:rPr>
                <w:sz w:val="22"/>
                <w:szCs w:val="22"/>
                <w:lang w:val="en-GB"/>
              </w:rPr>
              <w:t xml:space="preserve">A miniature bronchoscope was used to deliver 50 </w:t>
            </w:r>
            <w:proofErr w:type="spellStart"/>
            <w:r w:rsidRPr="00650A98">
              <w:rPr>
                <w:sz w:val="22"/>
                <w:szCs w:val="22"/>
                <w:lang w:val="en-GB"/>
              </w:rPr>
              <w:t>μl</w:t>
            </w:r>
            <w:proofErr w:type="spellEnd"/>
            <w:r w:rsidRPr="00650A98">
              <w:rPr>
                <w:sz w:val="22"/>
                <w:szCs w:val="22"/>
                <w:lang w:val="en-GB"/>
              </w:rPr>
              <w:t xml:space="preserve"> of </w:t>
            </w:r>
            <w:r w:rsidRPr="00650A98">
              <w:rPr>
                <w:i/>
                <w:iCs/>
                <w:sz w:val="22"/>
                <w:szCs w:val="22"/>
                <w:lang w:val="en-GB"/>
              </w:rPr>
              <w:t>P. aeruginosa</w:t>
            </w:r>
            <w:r w:rsidRPr="00650A98">
              <w:rPr>
                <w:sz w:val="22"/>
                <w:szCs w:val="22"/>
                <w:lang w:val="en-GB"/>
              </w:rPr>
              <w:t xml:space="preserve"> embedded agar beads to the right main bronchus of wildtype, knockout, CF and </w:t>
            </w:r>
            <w:r w:rsidRPr="00650A98">
              <w:rPr>
                <w:i/>
                <w:iCs/>
                <w:sz w:val="22"/>
                <w:szCs w:val="22"/>
                <w:lang w:val="en-GB"/>
              </w:rPr>
              <w:t>Phe508del</w:t>
            </w:r>
            <w:r w:rsidRPr="00650A98">
              <w:rPr>
                <w:sz w:val="22"/>
                <w:szCs w:val="22"/>
                <w:lang w:val="en-GB"/>
              </w:rPr>
              <w:t xml:space="preserve"> rats. The effects of the infection were measured at 7, 14 or 21 days using flexiVent and X-ray Velocimetry assessments to quantify lung function. Rats were then humanely killed with bacterial counts, bronchoalveolar lavage, and histology performed.</w:t>
            </w:r>
            <w:r w:rsidR="001564A4">
              <w:rPr>
                <w:sz w:val="22"/>
                <w:szCs w:val="22"/>
              </w:rPr>
              <w:br/>
            </w:r>
            <w:r w:rsidR="001564A4" w:rsidRPr="0050053A">
              <w:rPr>
                <w:rStyle w:val="A4"/>
                <w:b/>
                <w:bCs/>
              </w:rPr>
              <w:t xml:space="preserve">Results: </w:t>
            </w:r>
          </w:p>
          <w:p w14:paraId="68537800" w14:textId="1A083BC4" w:rsidR="001564A4" w:rsidRPr="0050053A" w:rsidRDefault="00650A98" w:rsidP="000A28E2">
            <w:pPr>
              <w:pStyle w:val="Pa12"/>
              <w:rPr>
                <w:rStyle w:val="A4"/>
                <w:bCs/>
              </w:rPr>
            </w:pPr>
            <w:r w:rsidRPr="00650A98">
              <w:rPr>
                <w:sz w:val="22"/>
                <w:szCs w:val="22"/>
                <w:lang w:val="en-GB"/>
              </w:rPr>
              <w:t xml:space="preserve">Lung infections were produced in all rat genotypes and persisted for at least 21 days. Knockout rats showed a higher inflammatory response than wildtype after 7 days, which remained elevated from baseline level at 21 days. Histological analysis in knockout rats exhibited widespread alveolar thickening, while wildtype and </w:t>
            </w:r>
            <w:r w:rsidRPr="00650A98">
              <w:rPr>
                <w:i/>
                <w:iCs/>
                <w:sz w:val="22"/>
                <w:szCs w:val="22"/>
                <w:lang w:val="en-GB"/>
              </w:rPr>
              <w:t>Phe508del</w:t>
            </w:r>
            <w:r w:rsidRPr="00650A98">
              <w:rPr>
                <w:sz w:val="22"/>
                <w:szCs w:val="22"/>
                <w:lang w:val="en-GB"/>
              </w:rPr>
              <w:t xml:space="preserve"> rats demonstrated focal inflammation surrounding agar beads. Delivering bacteria to a single lobe produced a localised infection without compromising the health of the whole lung, thus reducing associated mortality, and improving rat welfare.</w:t>
            </w:r>
          </w:p>
          <w:p w14:paraId="652F7BE1" w14:textId="77777777" w:rsidR="001564A4" w:rsidRPr="0050053A" w:rsidRDefault="001564A4" w:rsidP="000A28E2">
            <w:pPr>
              <w:pStyle w:val="Pa12"/>
              <w:rPr>
                <w:rStyle w:val="A4"/>
                <w:b/>
                <w:bCs/>
              </w:rPr>
            </w:pPr>
            <w:r w:rsidRPr="0050053A">
              <w:rPr>
                <w:rStyle w:val="A4"/>
                <w:b/>
                <w:bCs/>
              </w:rPr>
              <w:t xml:space="preserve">Conclusion: </w:t>
            </w:r>
          </w:p>
          <w:p w14:paraId="033167F9" w14:textId="28C1B6A5" w:rsidR="001564A4" w:rsidRPr="0050053A" w:rsidRDefault="00650A98" w:rsidP="000A28E2">
            <w:pPr>
              <w:pStyle w:val="Pa12"/>
              <w:rPr>
                <w:rStyle w:val="A4"/>
                <w:bCs/>
              </w:rPr>
            </w:pPr>
            <w:r w:rsidRPr="00650A98">
              <w:rPr>
                <w:sz w:val="22"/>
                <w:szCs w:val="22"/>
                <w:lang w:val="en-GB"/>
              </w:rPr>
              <w:t xml:space="preserve">We have successfully developed a practical method to induce a localised, chronic </w:t>
            </w:r>
            <w:r w:rsidRPr="00650A98">
              <w:rPr>
                <w:i/>
                <w:iCs/>
                <w:sz w:val="22"/>
                <w:szCs w:val="22"/>
                <w:lang w:val="en-GB"/>
              </w:rPr>
              <w:t>P. aeruginosa</w:t>
            </w:r>
            <w:r w:rsidRPr="00650A98">
              <w:rPr>
                <w:sz w:val="22"/>
                <w:szCs w:val="22"/>
                <w:lang w:val="en-GB"/>
              </w:rPr>
              <w:t xml:space="preserve"> infection in CF rats, providing a valuable tool for CF lung research. Using a miniature bronchoscope, bacterial-laden beads could be precisely delivered, creating a controlled infection lasting at least three weeks, with minimal health impact. This model should have </w:t>
            </w:r>
            <w:r w:rsidRPr="00650A98">
              <w:rPr>
                <w:sz w:val="22"/>
                <w:szCs w:val="22"/>
                <w:lang w:val="en-GB"/>
              </w:rPr>
              <w:t>value</w:t>
            </w:r>
            <w:r w:rsidRPr="00650A98">
              <w:rPr>
                <w:sz w:val="22"/>
                <w:szCs w:val="22"/>
                <w:lang w:val="en-GB"/>
              </w:rPr>
              <w:t xml:space="preserve"> in studying targeted treatments for </w:t>
            </w:r>
            <w:r w:rsidRPr="00650A98">
              <w:rPr>
                <w:i/>
                <w:iCs/>
                <w:sz w:val="22"/>
                <w:szCs w:val="22"/>
                <w:lang w:val="en-GB"/>
              </w:rPr>
              <w:t>P. aeruginosa</w:t>
            </w:r>
            <w:r w:rsidRPr="00650A98">
              <w:rPr>
                <w:sz w:val="22"/>
                <w:szCs w:val="22"/>
                <w:lang w:val="en-GB"/>
              </w:rPr>
              <w:t xml:space="preserve"> infection.</w:t>
            </w:r>
            <w:r w:rsidR="001564A4">
              <w:rPr>
                <w:rStyle w:val="A4"/>
                <w:bCs/>
              </w:rPr>
              <w:t xml:space="preserve"> </w:t>
            </w:r>
          </w:p>
          <w:p w14:paraId="196E7BAC" w14:textId="77777777" w:rsidR="001564A4" w:rsidRPr="0050053A" w:rsidRDefault="001564A4" w:rsidP="000A28E2">
            <w:pPr>
              <w:pStyle w:val="Pa12"/>
              <w:rPr>
                <w:rStyle w:val="A4"/>
                <w:bCs/>
              </w:rPr>
            </w:pPr>
            <w:r>
              <w:rPr>
                <w:rStyle w:val="A4"/>
                <w:bCs/>
              </w:rPr>
              <w:br/>
            </w:r>
          </w:p>
          <w:p w14:paraId="3E8B4283" w14:textId="77777777" w:rsidR="001564A4" w:rsidRPr="0050053A" w:rsidRDefault="001564A4" w:rsidP="000A28E2">
            <w:pPr>
              <w:pStyle w:val="Pa12"/>
              <w:rPr>
                <w:rStyle w:val="A4"/>
                <w:b/>
                <w:bCs/>
              </w:rPr>
            </w:pPr>
            <w:r w:rsidRPr="0050053A">
              <w:rPr>
                <w:rStyle w:val="A4"/>
                <w:b/>
                <w:bCs/>
              </w:rPr>
              <w:t xml:space="preserve">Grant Support: </w:t>
            </w:r>
          </w:p>
          <w:p w14:paraId="7F8381F0" w14:textId="77777777"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3E267E"/>
    <w:rsid w:val="0051574E"/>
    <w:rsid w:val="00650A98"/>
    <w:rsid w:val="008803FA"/>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03671">
      <w:bodyDiv w:val="1"/>
      <w:marLeft w:val="0"/>
      <w:marRight w:val="0"/>
      <w:marTop w:val="0"/>
      <w:marBottom w:val="0"/>
      <w:divBdr>
        <w:top w:val="none" w:sz="0" w:space="0" w:color="auto"/>
        <w:left w:val="none" w:sz="0" w:space="0" w:color="auto"/>
        <w:bottom w:val="none" w:sz="0" w:space="0" w:color="auto"/>
        <w:right w:val="none" w:sz="0" w:space="0" w:color="auto"/>
      </w:divBdr>
    </w:div>
    <w:div w:id="207913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3CDD38-9106-4E7C-8249-1CE70C81F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Nikki Reyne</cp:lastModifiedBy>
  <cp:revision>2</cp:revision>
  <dcterms:created xsi:type="dcterms:W3CDTF">2024-10-07T20:43:00Z</dcterms:created>
  <dcterms:modified xsi:type="dcterms:W3CDTF">2024-10-07T20:43:00Z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