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</w:tblGrid>
      <w:tr w:rsidR="001564A4" w:rsidRPr="0050053A" w14:paraId="5C38377B" w14:textId="77777777" w:rsidTr="00633091">
        <w:trPr>
          <w:jc w:val="center"/>
        </w:trPr>
        <w:tc>
          <w:tcPr>
            <w:tcW w:w="8642" w:type="dxa"/>
            <w:shd w:val="clear" w:color="auto" w:fill="auto"/>
          </w:tcPr>
          <w:p w14:paraId="5C44F357" w14:textId="03A05BB9" w:rsidR="001564A4" w:rsidRPr="009A516E" w:rsidRDefault="00793CEE" w:rsidP="000A28E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9A516E">
              <w:rPr>
                <w:rFonts w:ascii="Arial" w:hAnsi="Arial" w:cs="Arial"/>
                <w:b/>
                <w:bCs/>
              </w:rPr>
              <w:t>The feasibility of</w:t>
            </w:r>
            <w:r>
              <w:rPr>
                <w:rFonts w:ascii="Arial" w:hAnsi="Arial" w:cs="Arial"/>
                <w:b/>
                <w:bCs/>
              </w:rPr>
              <w:t xml:space="preserve"> f</w:t>
            </w:r>
            <w:r w:rsidRPr="009A516E">
              <w:rPr>
                <w:rFonts w:ascii="Arial" w:hAnsi="Arial" w:cs="Arial"/>
                <w:b/>
                <w:bCs/>
              </w:rPr>
              <w:t>unctional lung imaging</w:t>
            </w:r>
            <w:r>
              <w:rPr>
                <w:rFonts w:ascii="Arial" w:hAnsi="Arial" w:cs="Arial"/>
                <w:b/>
                <w:bCs/>
              </w:rPr>
              <w:t xml:space="preserve"> using X-ray velocimetry as compared to age-appropriate standard pulmonary function tests</w:t>
            </w:r>
          </w:p>
        </w:tc>
      </w:tr>
      <w:tr w:rsidR="001564A4" w:rsidRPr="0050053A" w14:paraId="0E2E035C" w14:textId="77777777" w:rsidTr="00633091">
        <w:trPr>
          <w:jc w:val="center"/>
        </w:trPr>
        <w:tc>
          <w:tcPr>
            <w:tcW w:w="8642" w:type="dxa"/>
            <w:shd w:val="clear" w:color="auto" w:fill="auto"/>
          </w:tcPr>
          <w:p w14:paraId="73B55295" w14:textId="3DFE2A58" w:rsidR="001564A4" w:rsidRPr="00413B94" w:rsidRDefault="009A516E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Phillips</w:t>
            </w:r>
            <w:r w:rsidR="003C698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J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3C698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3C6984">
              <w:rPr>
                <w:rFonts w:ascii="Arial" w:hAnsi="Arial" w:cs="Arial"/>
                <w:sz w:val="22"/>
                <w:szCs w:val="22"/>
                <w:lang w:val="en-US" w:eastAsia="en-GB"/>
              </w:rPr>
              <w:t>Bruorton M</w:t>
            </w:r>
            <w:r w:rsidR="003C6984" w:rsidRPr="003C698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3C698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,3</w:t>
            </w:r>
            <w:r w:rsidR="003C6984">
              <w:rPr>
                <w:rFonts w:ascii="Arial" w:hAnsi="Arial" w:cs="Arial"/>
                <w:sz w:val="22"/>
                <w:szCs w:val="22"/>
                <w:lang w:val="en-US" w:eastAsia="en-GB"/>
              </w:rPr>
              <w:t>, Carson-Chahhoud K</w:t>
            </w:r>
            <w:r w:rsidR="003C6984" w:rsidRPr="000C116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1,3,4</w:t>
            </w:r>
            <w:r w:rsidR="003C698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0C1163" w:rsidRPr="000E0B7F">
              <w:rPr>
                <w:rFonts w:ascii="Arial" w:hAnsi="Arial" w:cs="Arial"/>
                <w:sz w:val="22"/>
                <w:szCs w:val="22"/>
                <w:lang w:val="en-US" w:eastAsia="en-GB"/>
              </w:rPr>
              <w:t>Parsons</w:t>
            </w:r>
            <w:r w:rsidR="000C116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D</w:t>
            </w:r>
            <w:r w:rsidR="000C116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1,2,3</w:t>
            </w:r>
            <w:r w:rsidR="000C1163">
              <w:rPr>
                <w:rFonts w:ascii="Arial" w:hAnsi="Arial" w:cs="Arial"/>
                <w:sz w:val="22"/>
                <w:szCs w:val="22"/>
                <w:lang w:val="en-US" w:eastAsia="en-GB"/>
              </w:rPr>
              <w:t>, Martin Donnelley</w:t>
            </w:r>
            <w:r w:rsidR="00BE412D" w:rsidRPr="00BE412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</w:t>
            </w:r>
            <w:r w:rsidR="000C1163" w:rsidRPr="00BE412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Goddard</w:t>
            </w:r>
            <w:r w:rsidR="000C116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T</w:t>
            </w:r>
            <w:r w:rsidR="000C116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BE0B31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House </w:t>
            </w:r>
            <w:r w:rsidR="00A24C9C">
              <w:rPr>
                <w:rFonts w:ascii="Arial" w:hAnsi="Arial" w:cs="Arial"/>
                <w:sz w:val="22"/>
                <w:szCs w:val="22"/>
                <w:lang w:val="en-US" w:eastAsia="en-GB"/>
              </w:rPr>
              <w:t>I</w:t>
            </w:r>
            <w:r w:rsidR="00BE0B31">
              <w:rPr>
                <w:rFonts w:ascii="Arial" w:hAnsi="Arial" w:cs="Arial"/>
                <w:sz w:val="22"/>
                <w:szCs w:val="22"/>
                <w:lang w:val="en-US" w:eastAsia="en-GB"/>
              </w:rPr>
              <w:t>J</w:t>
            </w:r>
            <w:r w:rsidR="00BE0B31" w:rsidRPr="00BE0B31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BE0B31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Tai</w:t>
            </w:r>
            <w:r w:rsidR="000C116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</w:t>
            </w:r>
            <w:r w:rsidR="000C116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1,2,3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50053A" w14:paraId="385A19D9" w14:textId="77777777" w:rsidTr="00633091">
        <w:trPr>
          <w:trHeight w:val="136"/>
          <w:jc w:val="center"/>
        </w:trPr>
        <w:tc>
          <w:tcPr>
            <w:tcW w:w="8642" w:type="dxa"/>
            <w:shd w:val="clear" w:color="auto" w:fill="auto"/>
          </w:tcPr>
          <w:p w14:paraId="45ED36BF" w14:textId="1DA7CED3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3C698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C2753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Paediatric Respiratory and Sleep Dept</w:t>
            </w:r>
            <w:r w:rsidR="00B63C5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C2753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W</w:t>
            </w:r>
            <w:r w:rsidR="003C6984" w:rsidRPr="003C698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omen's and Children's Hospital, </w:t>
            </w:r>
            <w:r w:rsidR="003C698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SA</w:t>
            </w:r>
            <w:r w:rsidR="003C6984" w:rsidRPr="003C698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  <w:r w:rsidR="003C698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3C698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3C6984" w:rsidRPr="003C698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Robinson Research Institute, </w:t>
            </w:r>
            <w:r w:rsidR="003C698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SA</w:t>
            </w:r>
            <w:r w:rsidR="003C6984" w:rsidRPr="003C698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Australia,</w:t>
            </w:r>
            <w:r w:rsidR="003C698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3C698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3C6984" w:rsidRPr="003C698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Adelaide Medical School, </w:t>
            </w:r>
            <w:r w:rsidR="00C2753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University of Adelaide, </w:t>
            </w:r>
            <w:r w:rsidR="003C698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SA</w:t>
            </w:r>
            <w:r w:rsidR="003C6984" w:rsidRPr="003C698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  <w:r w:rsidR="003C698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3C6984" w:rsidRPr="003C698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A26A5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Houd Research Group</w:t>
            </w:r>
            <w:r w:rsidR="003C6984" w:rsidRPr="003C698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Adelaide, Australia</w:t>
            </w:r>
          </w:p>
        </w:tc>
      </w:tr>
      <w:tr w:rsidR="001564A4" w:rsidRPr="0050053A" w14:paraId="6DAF615A" w14:textId="77777777" w:rsidTr="00CF4A15">
        <w:trPr>
          <w:trHeight w:hRule="exact" w:val="10936"/>
          <w:jc w:val="center"/>
        </w:trPr>
        <w:tc>
          <w:tcPr>
            <w:tcW w:w="8642" w:type="dxa"/>
            <w:shd w:val="clear" w:color="auto" w:fill="auto"/>
          </w:tcPr>
          <w:p w14:paraId="254E14B2" w14:textId="14360167" w:rsidR="00A835D2" w:rsidRDefault="001564A4" w:rsidP="00890BDD">
            <w:pPr>
              <w:pStyle w:val="Pa12"/>
              <w:jc w:val="both"/>
              <w:rPr>
                <w:rStyle w:val="A4"/>
              </w:rPr>
            </w:pPr>
            <w:r w:rsidRPr="000E0B7F">
              <w:rPr>
                <w:rStyle w:val="A4"/>
                <w:b/>
                <w:bCs/>
              </w:rPr>
              <w:t>Introduction/Aim:</w:t>
            </w:r>
            <w:r w:rsidRPr="000E0B7F"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 w:rsidR="000E0B7F">
              <w:rPr>
                <w:rStyle w:val="A4"/>
              </w:rPr>
              <w:t>X</w:t>
            </w:r>
            <w:r w:rsidR="000E0B7F" w:rsidRPr="003850B7">
              <w:rPr>
                <w:rStyle w:val="A4"/>
              </w:rPr>
              <w:t xml:space="preserve">-ray </w:t>
            </w:r>
            <w:r w:rsidR="000E0B7F">
              <w:rPr>
                <w:rStyle w:val="A4"/>
              </w:rPr>
              <w:t>V</w:t>
            </w:r>
            <w:r w:rsidR="000E0B7F" w:rsidRPr="003850B7">
              <w:rPr>
                <w:rStyle w:val="A4"/>
              </w:rPr>
              <w:t xml:space="preserve">elocimetry (XV) </w:t>
            </w:r>
            <w:r w:rsidR="000E0B7F">
              <w:rPr>
                <w:rStyle w:val="A4"/>
              </w:rPr>
              <w:t>is a new functional imaging method that</w:t>
            </w:r>
            <w:r w:rsidR="000E0B7F" w:rsidRPr="003850B7">
              <w:rPr>
                <w:rStyle w:val="A4"/>
              </w:rPr>
              <w:t xml:space="preserve"> provides an opportunity to assess lung </w:t>
            </w:r>
            <w:r w:rsidR="000E0B7F">
              <w:rPr>
                <w:rStyle w:val="A4"/>
              </w:rPr>
              <w:t xml:space="preserve">ventilation </w:t>
            </w:r>
            <w:r w:rsidR="00EE1545" w:rsidRPr="00A835D2">
              <w:rPr>
                <w:rStyle w:val="A4"/>
              </w:rPr>
              <w:t xml:space="preserve">and function non-invasively </w:t>
            </w:r>
            <w:r w:rsidR="00447FB8" w:rsidRPr="00A835D2">
              <w:rPr>
                <w:rStyle w:val="A4"/>
              </w:rPr>
              <w:t xml:space="preserve">Spirometry </w:t>
            </w:r>
            <w:r w:rsidR="00331A16" w:rsidRPr="000E0B7F">
              <w:rPr>
                <w:rStyle w:val="A4"/>
              </w:rPr>
              <w:t xml:space="preserve">is the standard pulmonary function test (PFT) for children ≥4 years, although it is commonly used in children </w:t>
            </w:r>
            <w:r w:rsidR="00754A86" w:rsidRPr="000E0B7F">
              <w:rPr>
                <w:rStyle w:val="A4"/>
              </w:rPr>
              <w:t>&gt;</w:t>
            </w:r>
            <w:r w:rsidR="00331A16" w:rsidRPr="000E0B7F">
              <w:rPr>
                <w:rStyle w:val="A4"/>
              </w:rPr>
              <w:t>6 years</w:t>
            </w:r>
            <w:r w:rsidR="006E056F" w:rsidRPr="00A835D2">
              <w:rPr>
                <w:rStyle w:val="A4"/>
              </w:rPr>
              <w:t>.</w:t>
            </w:r>
            <w:r w:rsidR="000C1163" w:rsidRPr="00A835D2">
              <w:rPr>
                <w:rStyle w:val="A4"/>
              </w:rPr>
              <w:t xml:space="preserve"> </w:t>
            </w:r>
            <w:r w:rsidR="00C2753D" w:rsidRPr="00A835D2">
              <w:rPr>
                <w:rStyle w:val="A4"/>
              </w:rPr>
              <w:t>PFT’s</w:t>
            </w:r>
            <w:r w:rsidR="000C1163" w:rsidRPr="00A835D2">
              <w:rPr>
                <w:rStyle w:val="A4"/>
              </w:rPr>
              <w:t xml:space="preserve"> require </w:t>
            </w:r>
            <w:r w:rsidR="00C2753D" w:rsidRPr="00A835D2">
              <w:rPr>
                <w:rStyle w:val="A4"/>
              </w:rPr>
              <w:t xml:space="preserve">cooperation, concentration and supervision. </w:t>
            </w:r>
            <w:r w:rsidR="000E0B7F">
              <w:rPr>
                <w:rStyle w:val="A4"/>
              </w:rPr>
              <w:t>In contrast</w:t>
            </w:r>
            <w:r w:rsidR="000C1163" w:rsidRPr="00A835D2">
              <w:rPr>
                <w:rStyle w:val="A4"/>
              </w:rPr>
              <w:t>,</w:t>
            </w:r>
            <w:r w:rsidR="000E0B7F" w:rsidRPr="00A835D2">
              <w:rPr>
                <w:rStyle w:val="A4"/>
              </w:rPr>
              <w:t xml:space="preserve"> </w:t>
            </w:r>
            <w:r w:rsidR="003850B7" w:rsidRPr="00A835D2">
              <w:rPr>
                <w:rStyle w:val="A4"/>
              </w:rPr>
              <w:t xml:space="preserve">XV requires </w:t>
            </w:r>
            <w:r w:rsidR="00633091" w:rsidRPr="00A835D2">
              <w:rPr>
                <w:rStyle w:val="A4"/>
              </w:rPr>
              <w:t>the</w:t>
            </w:r>
            <w:r w:rsidR="003850B7" w:rsidRPr="00A835D2">
              <w:rPr>
                <w:rStyle w:val="A4"/>
              </w:rPr>
              <w:t xml:space="preserve"> child to</w:t>
            </w:r>
            <w:r w:rsidR="00633091" w:rsidRPr="00A835D2">
              <w:rPr>
                <w:rStyle w:val="A4"/>
              </w:rPr>
              <w:t xml:space="preserve"> </w:t>
            </w:r>
            <w:r w:rsidR="00CB7E51" w:rsidRPr="000E0B7F">
              <w:rPr>
                <w:rStyle w:val="A4"/>
              </w:rPr>
              <w:t>remain</w:t>
            </w:r>
            <w:r w:rsidR="00CB7E51" w:rsidRPr="00A835D2">
              <w:rPr>
                <w:rStyle w:val="A4"/>
              </w:rPr>
              <w:t xml:space="preserve"> </w:t>
            </w:r>
            <w:r w:rsidR="003850B7" w:rsidRPr="00A835D2">
              <w:rPr>
                <w:rStyle w:val="A4"/>
              </w:rPr>
              <w:t>still</w:t>
            </w:r>
            <w:r w:rsidR="00C2753D" w:rsidRPr="00A835D2">
              <w:rPr>
                <w:rStyle w:val="A4"/>
              </w:rPr>
              <w:t xml:space="preserve"> during </w:t>
            </w:r>
            <w:r w:rsidR="00CB7E51" w:rsidRPr="000E0B7F">
              <w:rPr>
                <w:rStyle w:val="A4"/>
              </w:rPr>
              <w:t>the</w:t>
            </w:r>
            <w:r w:rsidR="00CB7E51" w:rsidRPr="00A835D2">
              <w:rPr>
                <w:rStyle w:val="A4"/>
              </w:rPr>
              <w:t xml:space="preserve"> </w:t>
            </w:r>
            <w:r w:rsidR="00C2753D" w:rsidRPr="00A835D2">
              <w:rPr>
                <w:rStyle w:val="A4"/>
              </w:rPr>
              <w:t>fluoroscopic test.</w:t>
            </w:r>
            <w:r w:rsidR="003850B7" w:rsidRPr="00A835D2">
              <w:rPr>
                <w:rStyle w:val="A4"/>
              </w:rPr>
              <w:t xml:space="preserve"> We assess</w:t>
            </w:r>
            <w:r w:rsidR="00557459" w:rsidRPr="00A835D2">
              <w:rPr>
                <w:rStyle w:val="A4"/>
              </w:rPr>
              <w:t>ed</w:t>
            </w:r>
            <w:r w:rsidR="003850B7" w:rsidRPr="00A835D2">
              <w:rPr>
                <w:rStyle w:val="A4"/>
              </w:rPr>
              <w:t xml:space="preserve"> the feasibility of using XV imaging </w:t>
            </w:r>
            <w:r w:rsidR="00557459" w:rsidRPr="00A835D2">
              <w:rPr>
                <w:rStyle w:val="A4"/>
              </w:rPr>
              <w:t xml:space="preserve">to assess lung health </w:t>
            </w:r>
            <w:r w:rsidR="003850B7" w:rsidRPr="00A835D2">
              <w:rPr>
                <w:rStyle w:val="A4"/>
              </w:rPr>
              <w:t xml:space="preserve">compared to </w:t>
            </w:r>
            <w:r w:rsidR="00C2753D" w:rsidRPr="00A835D2">
              <w:rPr>
                <w:rStyle w:val="A4"/>
              </w:rPr>
              <w:t>P</w:t>
            </w:r>
            <w:r w:rsidR="003850B7" w:rsidRPr="00A835D2">
              <w:rPr>
                <w:rStyle w:val="A4"/>
              </w:rPr>
              <w:t>FT</w:t>
            </w:r>
            <w:r w:rsidR="00633091" w:rsidRPr="00A835D2">
              <w:rPr>
                <w:rStyle w:val="A4"/>
              </w:rPr>
              <w:t>s</w:t>
            </w:r>
            <w:r w:rsidR="003850B7" w:rsidRPr="00A835D2">
              <w:rPr>
                <w:rStyle w:val="A4"/>
              </w:rPr>
              <w:t xml:space="preserve">. </w:t>
            </w:r>
            <w:r w:rsidRPr="00A835D2">
              <w:rPr>
                <w:rStyle w:val="A4"/>
                <w:b/>
                <w:bCs/>
              </w:rPr>
              <w:t xml:space="preserve">Methods: </w:t>
            </w:r>
            <w:r w:rsidR="00C2753D" w:rsidRPr="00A835D2">
              <w:rPr>
                <w:rStyle w:val="A4"/>
              </w:rPr>
              <w:t xml:space="preserve">Children with </w:t>
            </w:r>
            <w:r w:rsidR="00B63C5E" w:rsidRPr="00A835D2">
              <w:rPr>
                <w:rStyle w:val="A4"/>
              </w:rPr>
              <w:t>c</w:t>
            </w:r>
            <w:r w:rsidR="003850B7" w:rsidRPr="00A835D2">
              <w:rPr>
                <w:rStyle w:val="A4"/>
              </w:rPr>
              <w:t xml:space="preserve">ystic fibrosis (CF) and </w:t>
            </w:r>
            <w:r w:rsidR="0045669B" w:rsidRPr="00A835D2">
              <w:rPr>
                <w:rStyle w:val="A4"/>
              </w:rPr>
              <w:t>C</w:t>
            </w:r>
            <w:r w:rsidR="002B4BC7" w:rsidRPr="00A835D2">
              <w:rPr>
                <w:rStyle w:val="A4"/>
              </w:rPr>
              <w:t>ontrol</w:t>
            </w:r>
            <w:r w:rsidR="00754A86" w:rsidRPr="000E0B7F">
              <w:rPr>
                <w:rStyle w:val="A4"/>
              </w:rPr>
              <w:t>s</w:t>
            </w:r>
            <w:r w:rsidR="002B4BC7" w:rsidRPr="00A835D2">
              <w:rPr>
                <w:rStyle w:val="A4"/>
              </w:rPr>
              <w:t xml:space="preserve">, aged </w:t>
            </w:r>
            <w:r w:rsidR="00CB7E51" w:rsidRPr="000E0B7F">
              <w:rPr>
                <w:rStyle w:val="A4"/>
              </w:rPr>
              <w:t>3-</w:t>
            </w:r>
            <w:r w:rsidR="002B4BC7" w:rsidRPr="00A835D2">
              <w:rPr>
                <w:rStyle w:val="A4"/>
              </w:rPr>
              <w:t>18 years</w:t>
            </w:r>
            <w:r w:rsidR="000E0B7F">
              <w:rPr>
                <w:rStyle w:val="A4"/>
              </w:rPr>
              <w:t>,</w:t>
            </w:r>
            <w:r w:rsidR="003850B7" w:rsidRPr="00A835D2">
              <w:rPr>
                <w:rStyle w:val="A4"/>
              </w:rPr>
              <w:t xml:space="preserve"> </w:t>
            </w:r>
            <w:r w:rsidR="00557459" w:rsidRPr="00A835D2">
              <w:rPr>
                <w:rStyle w:val="A4"/>
              </w:rPr>
              <w:t xml:space="preserve">underwent </w:t>
            </w:r>
            <w:r w:rsidR="003850B7" w:rsidRPr="00A835D2">
              <w:rPr>
                <w:rStyle w:val="A4"/>
              </w:rPr>
              <w:t xml:space="preserve">an XV scan </w:t>
            </w:r>
            <w:r w:rsidR="00557459" w:rsidRPr="00A835D2">
              <w:rPr>
                <w:rStyle w:val="A4"/>
              </w:rPr>
              <w:t xml:space="preserve">along with </w:t>
            </w:r>
            <w:r w:rsidR="003850B7" w:rsidRPr="00A835D2">
              <w:rPr>
                <w:rStyle w:val="A4"/>
              </w:rPr>
              <w:t xml:space="preserve">paired </w:t>
            </w:r>
            <w:r w:rsidR="0045669B" w:rsidRPr="00A835D2">
              <w:rPr>
                <w:rStyle w:val="A4"/>
              </w:rPr>
              <w:t>age</w:t>
            </w:r>
            <w:r w:rsidR="00557459" w:rsidRPr="00A835D2">
              <w:rPr>
                <w:rStyle w:val="A4"/>
              </w:rPr>
              <w:t>-</w:t>
            </w:r>
            <w:r w:rsidR="0045669B" w:rsidRPr="00A835D2">
              <w:rPr>
                <w:rStyle w:val="A4"/>
              </w:rPr>
              <w:t>appropriate</w:t>
            </w:r>
            <w:r w:rsidR="003850B7" w:rsidRPr="00A835D2">
              <w:rPr>
                <w:rStyle w:val="A4"/>
              </w:rPr>
              <w:t xml:space="preserve"> </w:t>
            </w:r>
            <w:r w:rsidR="00C2753D" w:rsidRPr="00A835D2">
              <w:rPr>
                <w:rStyle w:val="A4"/>
              </w:rPr>
              <w:t>P</w:t>
            </w:r>
            <w:r w:rsidR="003850B7" w:rsidRPr="00A835D2">
              <w:rPr>
                <w:rStyle w:val="A4"/>
              </w:rPr>
              <w:t xml:space="preserve">FTs (spirometry, multiple breath </w:t>
            </w:r>
            <w:r w:rsidR="00C2753D" w:rsidRPr="00A835D2">
              <w:rPr>
                <w:rStyle w:val="A4"/>
              </w:rPr>
              <w:t xml:space="preserve">nitrogen </w:t>
            </w:r>
            <w:r w:rsidR="003850B7" w:rsidRPr="00A835D2">
              <w:rPr>
                <w:rStyle w:val="A4"/>
              </w:rPr>
              <w:t>washout (MB</w:t>
            </w:r>
            <w:r w:rsidR="00C2753D" w:rsidRPr="00A835D2">
              <w:rPr>
                <w:rStyle w:val="A4"/>
              </w:rPr>
              <w:t>N</w:t>
            </w:r>
            <w:r w:rsidR="003850B7" w:rsidRPr="00A835D2">
              <w:rPr>
                <w:rStyle w:val="A4"/>
              </w:rPr>
              <w:t xml:space="preserve">W), diffusing capacity, </w:t>
            </w:r>
            <w:r w:rsidR="00633091" w:rsidRPr="00A835D2">
              <w:rPr>
                <w:rStyle w:val="A4"/>
              </w:rPr>
              <w:t>plethysmography</w:t>
            </w:r>
            <w:r w:rsidR="003850B7" w:rsidRPr="00A835D2">
              <w:rPr>
                <w:rStyle w:val="A4"/>
              </w:rPr>
              <w:t>).</w:t>
            </w:r>
            <w:r w:rsidR="00A752C2" w:rsidRPr="00A835D2">
              <w:rPr>
                <w:rStyle w:val="A4"/>
              </w:rPr>
              <w:t xml:space="preserve"> </w:t>
            </w:r>
            <w:r w:rsidR="00CB7E51" w:rsidRPr="000E0B7F">
              <w:rPr>
                <w:rStyle w:val="A4"/>
              </w:rPr>
              <w:t xml:space="preserve">PFT’s were assessed as high quality </w:t>
            </w:r>
            <w:r w:rsidR="00331A16" w:rsidRPr="000E0B7F">
              <w:rPr>
                <w:rStyle w:val="A4"/>
              </w:rPr>
              <w:t xml:space="preserve">if they were both repeatable and reproducible </w:t>
            </w:r>
            <w:r w:rsidR="00CB7E51" w:rsidRPr="000E0B7F">
              <w:rPr>
                <w:rStyle w:val="A4"/>
              </w:rPr>
              <w:t>(</w:t>
            </w:r>
            <w:r w:rsidR="00331A16" w:rsidRPr="000E0B7F">
              <w:rPr>
                <w:rStyle w:val="A4"/>
              </w:rPr>
              <w:t xml:space="preserve">grade </w:t>
            </w:r>
            <w:r w:rsidR="00CB7E51" w:rsidRPr="000E0B7F">
              <w:rPr>
                <w:rStyle w:val="A4"/>
              </w:rPr>
              <w:t>A or B) or low quality (</w:t>
            </w:r>
            <w:r w:rsidR="00A835D2" w:rsidRPr="000E0B7F">
              <w:rPr>
                <w:rStyle w:val="A4"/>
              </w:rPr>
              <w:t xml:space="preserve">grade </w:t>
            </w:r>
            <w:r w:rsidR="00CB7E51" w:rsidRPr="000E0B7F">
              <w:rPr>
                <w:rStyle w:val="A4"/>
              </w:rPr>
              <w:t xml:space="preserve">C or unsuccessful) based on the ATS/ERS guidelines. </w:t>
            </w:r>
            <w:r w:rsidR="00557459" w:rsidRPr="00A835D2">
              <w:rPr>
                <w:rStyle w:val="A4"/>
              </w:rPr>
              <w:t>D</w:t>
            </w:r>
            <w:r w:rsidR="00335844" w:rsidRPr="00A835D2">
              <w:rPr>
                <w:rStyle w:val="A4"/>
              </w:rPr>
              <w:t xml:space="preserve">ata pooled from </w:t>
            </w:r>
            <w:r w:rsidR="009A516E" w:rsidRPr="00A835D2">
              <w:rPr>
                <w:rStyle w:val="A4"/>
              </w:rPr>
              <w:t>two</w:t>
            </w:r>
            <w:r w:rsidR="00335844" w:rsidRPr="00A835D2">
              <w:rPr>
                <w:rStyle w:val="A4"/>
              </w:rPr>
              <w:t xml:space="preserve"> studies</w:t>
            </w:r>
            <w:r w:rsidR="009A516E" w:rsidRPr="00A835D2">
              <w:rPr>
                <w:rStyle w:val="A4"/>
              </w:rPr>
              <w:t xml:space="preserve"> </w:t>
            </w:r>
            <w:r w:rsidR="00557459" w:rsidRPr="00A835D2">
              <w:rPr>
                <w:rStyle w:val="A4"/>
              </w:rPr>
              <w:t xml:space="preserve">utilising XV </w:t>
            </w:r>
            <w:r w:rsidR="00335844" w:rsidRPr="00A835D2">
              <w:rPr>
                <w:rStyle w:val="A4"/>
              </w:rPr>
              <w:t>at the Women’s and Children’s Hospital</w:t>
            </w:r>
            <w:r w:rsidR="00557459" w:rsidRPr="00A835D2">
              <w:rPr>
                <w:rStyle w:val="A4"/>
              </w:rPr>
              <w:t xml:space="preserve"> were assess</w:t>
            </w:r>
            <w:r w:rsidR="00331A16" w:rsidRPr="000E0B7F">
              <w:rPr>
                <w:rStyle w:val="A4"/>
              </w:rPr>
              <w:t>ed for PFT quality</w:t>
            </w:r>
            <w:r w:rsidR="00F0795E" w:rsidRPr="00A835D2">
              <w:rPr>
                <w:rStyle w:val="A4"/>
              </w:rPr>
              <w:t xml:space="preserve"> </w:t>
            </w:r>
            <w:r w:rsidR="00331A16" w:rsidRPr="000E0B7F">
              <w:rPr>
                <w:rStyle w:val="A4"/>
              </w:rPr>
              <w:t>stratified by previous PFT experience and age</w:t>
            </w:r>
            <w:r w:rsidR="0045669B" w:rsidRPr="00A835D2">
              <w:rPr>
                <w:rStyle w:val="A4"/>
              </w:rPr>
              <w:t xml:space="preserve">, examining preschool children (&lt;5 years) and </w:t>
            </w:r>
            <w:r w:rsidR="008E371E" w:rsidRPr="00A835D2">
              <w:rPr>
                <w:rStyle w:val="A4"/>
              </w:rPr>
              <w:t>children to adolescents</w:t>
            </w:r>
            <w:r w:rsidR="0045669B" w:rsidRPr="00A835D2">
              <w:rPr>
                <w:rStyle w:val="A4"/>
              </w:rPr>
              <w:t xml:space="preserve"> (≥5 years)</w:t>
            </w:r>
            <w:r w:rsidR="00F0795E" w:rsidRPr="00A835D2">
              <w:rPr>
                <w:rStyle w:val="A4"/>
              </w:rPr>
              <w:t xml:space="preserve">. Recruitment for both Controls and CF is ongoing. </w:t>
            </w:r>
            <w:r w:rsidRPr="00A835D2">
              <w:rPr>
                <w:rStyle w:val="A4"/>
                <w:b/>
                <w:bCs/>
              </w:rPr>
              <w:t xml:space="preserve">Results: </w:t>
            </w:r>
            <w:r w:rsidR="00F0795E" w:rsidRPr="00A835D2">
              <w:rPr>
                <w:rStyle w:val="A4"/>
              </w:rPr>
              <w:t xml:space="preserve">To date, 24 children with CF and 4 </w:t>
            </w:r>
            <w:r w:rsidR="00754A86" w:rsidRPr="000E0B7F">
              <w:rPr>
                <w:rStyle w:val="A4"/>
              </w:rPr>
              <w:t>C</w:t>
            </w:r>
            <w:r w:rsidR="00754A86" w:rsidRPr="00A835D2">
              <w:rPr>
                <w:rStyle w:val="A4"/>
              </w:rPr>
              <w:t xml:space="preserve">ontrol </w:t>
            </w:r>
            <w:r w:rsidR="00F0795E" w:rsidRPr="00A835D2">
              <w:rPr>
                <w:rStyle w:val="A4"/>
              </w:rPr>
              <w:t>subjects have been recruited.</w:t>
            </w:r>
            <w:r w:rsidR="00F0795E" w:rsidRPr="00A835D2">
              <w:rPr>
                <w:rStyle w:val="A4"/>
                <w:b/>
                <w:bCs/>
              </w:rPr>
              <w:t xml:space="preserve"> </w:t>
            </w:r>
            <w:r w:rsidR="00CB7E51" w:rsidRPr="000E0B7F">
              <w:rPr>
                <w:rStyle w:val="A4"/>
              </w:rPr>
              <w:t xml:space="preserve">Children </w:t>
            </w:r>
            <w:r w:rsidR="00754A86" w:rsidRPr="000E0B7F">
              <w:rPr>
                <w:rStyle w:val="A4"/>
              </w:rPr>
              <w:t>&gt;</w:t>
            </w:r>
            <w:r w:rsidR="00CB7E51" w:rsidRPr="000E0B7F">
              <w:rPr>
                <w:rStyle w:val="A4"/>
              </w:rPr>
              <w:t xml:space="preserve">5 </w:t>
            </w:r>
            <w:r w:rsidR="003B2694" w:rsidRPr="000E0B7F">
              <w:rPr>
                <w:rStyle w:val="A4"/>
              </w:rPr>
              <w:t xml:space="preserve">years </w:t>
            </w:r>
            <w:r w:rsidR="00A835D2" w:rsidRPr="000E0B7F">
              <w:rPr>
                <w:rStyle w:val="A4"/>
              </w:rPr>
              <w:t>achieved</w:t>
            </w:r>
            <w:r w:rsidR="00CB7E51" w:rsidRPr="000E0B7F">
              <w:rPr>
                <w:rStyle w:val="A4"/>
              </w:rPr>
              <w:t xml:space="preserve"> high </w:t>
            </w:r>
            <w:r w:rsidR="003B2694" w:rsidRPr="000E0B7F">
              <w:rPr>
                <w:rStyle w:val="A4"/>
              </w:rPr>
              <w:t>quality PFT’s (spirometry 84%, diffusing capacity 76%) independent of previous PFT</w:t>
            </w:r>
            <w:r w:rsidR="00331A16" w:rsidRPr="000E0B7F">
              <w:rPr>
                <w:rStyle w:val="A4"/>
              </w:rPr>
              <w:t xml:space="preserve"> experience</w:t>
            </w:r>
            <w:r w:rsidR="003B2694" w:rsidRPr="000E0B7F">
              <w:rPr>
                <w:rStyle w:val="A4"/>
              </w:rPr>
              <w:t>.</w:t>
            </w:r>
            <w:r w:rsidR="00331A16" w:rsidRPr="000E0B7F">
              <w:rPr>
                <w:rStyle w:val="A4"/>
              </w:rPr>
              <w:t xml:space="preserve"> </w:t>
            </w:r>
            <w:r w:rsidR="00895A8B" w:rsidRPr="00A835D2">
              <w:rPr>
                <w:rStyle w:val="A4"/>
              </w:rPr>
              <w:t>Those who complete</w:t>
            </w:r>
            <w:r w:rsidR="00A835D2" w:rsidRPr="000E0B7F">
              <w:rPr>
                <w:rStyle w:val="A4"/>
              </w:rPr>
              <w:t>d</w:t>
            </w:r>
            <w:r w:rsidR="00895A8B" w:rsidRPr="00A835D2">
              <w:rPr>
                <w:rStyle w:val="A4"/>
              </w:rPr>
              <w:t xml:space="preserve"> </w:t>
            </w:r>
            <w:r w:rsidR="00633091" w:rsidRPr="00A835D2">
              <w:rPr>
                <w:rStyle w:val="A4"/>
              </w:rPr>
              <w:t xml:space="preserve">high quality </w:t>
            </w:r>
            <w:r w:rsidR="00CB7E51" w:rsidRPr="000E0B7F">
              <w:rPr>
                <w:rStyle w:val="A4"/>
              </w:rPr>
              <w:t>PFT’s</w:t>
            </w:r>
            <w:r w:rsidR="00CB7E51" w:rsidRPr="00A835D2">
              <w:rPr>
                <w:rStyle w:val="A4"/>
              </w:rPr>
              <w:t xml:space="preserve"> </w:t>
            </w:r>
            <w:r w:rsidR="00895A8B" w:rsidRPr="00A835D2">
              <w:rPr>
                <w:rStyle w:val="A4"/>
              </w:rPr>
              <w:t xml:space="preserve">were more likely to be older </w:t>
            </w:r>
            <w:r w:rsidR="00335844" w:rsidRPr="00A835D2">
              <w:rPr>
                <w:rStyle w:val="A4"/>
              </w:rPr>
              <w:t xml:space="preserve">and </w:t>
            </w:r>
            <w:r w:rsidR="00CB7E51" w:rsidRPr="00A835D2">
              <w:rPr>
                <w:rStyle w:val="A4"/>
              </w:rPr>
              <w:t>h</w:t>
            </w:r>
            <w:r w:rsidR="00CB7E51" w:rsidRPr="000E0B7F">
              <w:rPr>
                <w:rStyle w:val="A4"/>
              </w:rPr>
              <w:t>ave</w:t>
            </w:r>
            <w:r w:rsidR="00CB7E51" w:rsidRPr="00A835D2">
              <w:rPr>
                <w:rStyle w:val="A4"/>
              </w:rPr>
              <w:t xml:space="preserve"> </w:t>
            </w:r>
            <w:r w:rsidR="00303911" w:rsidRPr="00A835D2">
              <w:rPr>
                <w:rStyle w:val="A4"/>
              </w:rPr>
              <w:t xml:space="preserve">previous </w:t>
            </w:r>
            <w:r w:rsidR="00754A86" w:rsidRPr="000E0B7F">
              <w:rPr>
                <w:rStyle w:val="A4"/>
              </w:rPr>
              <w:t>PFT experience</w:t>
            </w:r>
            <w:r w:rsidR="00335844" w:rsidRPr="00A835D2">
              <w:rPr>
                <w:rStyle w:val="A4"/>
              </w:rPr>
              <w:t>.</w:t>
            </w:r>
            <w:r w:rsidR="00335844" w:rsidRPr="000E0B7F">
              <w:rPr>
                <w:sz w:val="22"/>
                <w:szCs w:val="22"/>
              </w:rPr>
              <w:t xml:space="preserve"> </w:t>
            </w:r>
            <w:r w:rsidR="00A835D2" w:rsidRPr="000E0B7F">
              <w:rPr>
                <w:sz w:val="22"/>
                <w:szCs w:val="22"/>
              </w:rPr>
              <w:t>All</w:t>
            </w:r>
            <w:r w:rsidR="00A835D2" w:rsidRPr="00A835D2">
              <w:rPr>
                <w:sz w:val="22"/>
                <w:szCs w:val="22"/>
              </w:rPr>
              <w:t xml:space="preserve"> children enrolled in the study had XV images collected successfully. </w:t>
            </w:r>
            <w:r w:rsidRPr="00A835D2">
              <w:rPr>
                <w:rStyle w:val="A4"/>
                <w:b/>
                <w:bCs/>
              </w:rPr>
              <w:t xml:space="preserve">Conclusion: </w:t>
            </w:r>
            <w:r w:rsidR="00335844" w:rsidRPr="00A835D2">
              <w:rPr>
                <w:rStyle w:val="A4"/>
              </w:rPr>
              <w:t>While spirometry is the gold standard lung function</w:t>
            </w:r>
            <w:r w:rsidR="0073496C" w:rsidRPr="00A835D2">
              <w:rPr>
                <w:rStyle w:val="A4"/>
              </w:rPr>
              <w:t xml:space="preserve"> measurement</w:t>
            </w:r>
            <w:r w:rsidR="00335844" w:rsidRPr="00A835D2">
              <w:rPr>
                <w:rStyle w:val="A4"/>
              </w:rPr>
              <w:t>, younger children may benefit from functional lung imaging</w:t>
            </w:r>
            <w:r w:rsidR="00CF4A15">
              <w:rPr>
                <w:rStyle w:val="A4"/>
              </w:rPr>
              <w:t xml:space="preserve"> </w:t>
            </w:r>
            <w:r w:rsidR="00335844" w:rsidRPr="00A835D2">
              <w:rPr>
                <w:rStyle w:val="A4"/>
              </w:rPr>
              <w:t xml:space="preserve">as </w:t>
            </w:r>
            <w:r w:rsidR="0073496C" w:rsidRPr="00A835D2">
              <w:rPr>
                <w:rStyle w:val="A4"/>
              </w:rPr>
              <w:t>it is fast and</w:t>
            </w:r>
            <w:r w:rsidR="00335844" w:rsidRPr="00A835D2">
              <w:rPr>
                <w:rStyle w:val="A4"/>
              </w:rPr>
              <w:t xml:space="preserve"> requires </w:t>
            </w:r>
            <w:r w:rsidR="00A752C2" w:rsidRPr="00A835D2">
              <w:rPr>
                <w:rStyle w:val="A4"/>
              </w:rPr>
              <w:t>no coaching</w:t>
            </w:r>
            <w:r w:rsidR="00557459" w:rsidRPr="00A835D2">
              <w:rPr>
                <w:rStyle w:val="A4"/>
              </w:rPr>
              <w:t xml:space="preserve">, </w:t>
            </w:r>
            <w:r w:rsidR="00A752C2" w:rsidRPr="00A835D2">
              <w:rPr>
                <w:rStyle w:val="A4"/>
              </w:rPr>
              <w:t>concentration</w:t>
            </w:r>
            <w:r w:rsidR="00557459" w:rsidRPr="00A835D2">
              <w:rPr>
                <w:rStyle w:val="A4"/>
              </w:rPr>
              <w:t xml:space="preserve">, or </w:t>
            </w:r>
            <w:r w:rsidR="00754A86" w:rsidRPr="000E0B7F">
              <w:rPr>
                <w:rStyle w:val="A4"/>
              </w:rPr>
              <w:t>manoeuvres</w:t>
            </w:r>
            <w:r w:rsidR="00557459" w:rsidRPr="00A835D2">
              <w:rPr>
                <w:rStyle w:val="A4"/>
              </w:rPr>
              <w:t xml:space="preserve"> </w:t>
            </w:r>
            <w:r w:rsidR="0073496C" w:rsidRPr="00A835D2">
              <w:rPr>
                <w:rStyle w:val="A4"/>
              </w:rPr>
              <w:t xml:space="preserve">from </w:t>
            </w:r>
            <w:r w:rsidR="00A752C2" w:rsidRPr="00A835D2">
              <w:rPr>
                <w:rStyle w:val="A4"/>
              </w:rPr>
              <w:t xml:space="preserve">the child. </w:t>
            </w:r>
            <w:r w:rsidR="009A516E" w:rsidRPr="00A835D2">
              <w:rPr>
                <w:rStyle w:val="A4"/>
              </w:rPr>
              <w:t xml:space="preserve">As younger children are </w:t>
            </w:r>
            <w:r w:rsidR="00557459" w:rsidRPr="00A835D2">
              <w:rPr>
                <w:rStyle w:val="A4"/>
              </w:rPr>
              <w:t>becoming e</w:t>
            </w:r>
            <w:r w:rsidR="009A516E" w:rsidRPr="00A835D2">
              <w:rPr>
                <w:rStyle w:val="A4"/>
              </w:rPr>
              <w:t xml:space="preserve">ligible for </w:t>
            </w:r>
            <w:r w:rsidR="000E0B7F">
              <w:rPr>
                <w:rStyle w:val="A4"/>
              </w:rPr>
              <w:t xml:space="preserve">CFTR </w:t>
            </w:r>
            <w:r w:rsidR="009A516E" w:rsidRPr="00A835D2">
              <w:rPr>
                <w:rStyle w:val="A4"/>
              </w:rPr>
              <w:t>modulator</w:t>
            </w:r>
            <w:r w:rsidR="00557459" w:rsidRPr="00A835D2">
              <w:rPr>
                <w:rStyle w:val="A4"/>
              </w:rPr>
              <w:t xml:space="preserve"> therapies</w:t>
            </w:r>
            <w:r w:rsidR="009A516E" w:rsidRPr="00A835D2">
              <w:rPr>
                <w:rStyle w:val="A4"/>
              </w:rPr>
              <w:t xml:space="preserve"> XV imaging </w:t>
            </w:r>
            <w:r w:rsidR="00303911" w:rsidRPr="00A835D2">
              <w:rPr>
                <w:rStyle w:val="A4"/>
              </w:rPr>
              <w:t xml:space="preserve">may provide </w:t>
            </w:r>
            <w:r w:rsidR="00754A86" w:rsidRPr="000E0B7F">
              <w:rPr>
                <w:rStyle w:val="A4"/>
              </w:rPr>
              <w:t>additional,</w:t>
            </w:r>
            <w:r w:rsidR="00754A86" w:rsidRPr="00A835D2">
              <w:rPr>
                <w:rStyle w:val="A4"/>
              </w:rPr>
              <w:t xml:space="preserve"> </w:t>
            </w:r>
            <w:r w:rsidR="00557459" w:rsidRPr="00A835D2">
              <w:rPr>
                <w:rStyle w:val="A4"/>
              </w:rPr>
              <w:t>clinically useful</w:t>
            </w:r>
            <w:r w:rsidR="00754A86" w:rsidRPr="000E0B7F">
              <w:rPr>
                <w:rStyle w:val="A4"/>
              </w:rPr>
              <w:t>,</w:t>
            </w:r>
            <w:r w:rsidR="00557459" w:rsidRPr="00A835D2">
              <w:rPr>
                <w:rStyle w:val="A4"/>
              </w:rPr>
              <w:t xml:space="preserve"> lung health </w:t>
            </w:r>
            <w:r w:rsidR="00303911" w:rsidRPr="00A835D2">
              <w:rPr>
                <w:rStyle w:val="A4"/>
              </w:rPr>
              <w:t xml:space="preserve">information than </w:t>
            </w:r>
            <w:r w:rsidR="0045669B" w:rsidRPr="00A835D2">
              <w:rPr>
                <w:rStyle w:val="A4"/>
              </w:rPr>
              <w:t>P</w:t>
            </w:r>
            <w:r w:rsidR="009A516E" w:rsidRPr="00A835D2">
              <w:rPr>
                <w:rStyle w:val="A4"/>
              </w:rPr>
              <w:t>FT’s alone.</w:t>
            </w:r>
            <w:r w:rsidR="00890BDD" w:rsidRPr="00A835D2">
              <w:rPr>
                <w:rStyle w:val="A4"/>
              </w:rPr>
              <w:t xml:space="preserve"> </w:t>
            </w:r>
            <w:r w:rsidRPr="00A835D2">
              <w:rPr>
                <w:rStyle w:val="A4"/>
                <w:b/>
                <w:bCs/>
              </w:rPr>
              <w:t xml:space="preserve">Grant Support: </w:t>
            </w:r>
            <w:r w:rsidR="00B310A1" w:rsidRPr="00A835D2">
              <w:rPr>
                <w:rStyle w:val="A4"/>
              </w:rPr>
              <w:t xml:space="preserve">This work </w:t>
            </w:r>
            <w:r w:rsidR="00557459" w:rsidRPr="00A835D2">
              <w:rPr>
                <w:rStyle w:val="A4"/>
              </w:rPr>
              <w:t xml:space="preserve">was </w:t>
            </w:r>
            <w:r w:rsidR="00B310A1" w:rsidRPr="00A835D2">
              <w:rPr>
                <w:rStyle w:val="A4"/>
              </w:rPr>
              <w:t>supported by</w:t>
            </w:r>
            <w:r w:rsidR="00754A86" w:rsidRPr="000E0B7F">
              <w:rPr>
                <w:rStyle w:val="A4"/>
              </w:rPr>
              <w:t xml:space="preserve"> a</w:t>
            </w:r>
            <w:r w:rsidR="00B310A1" w:rsidRPr="00A835D2">
              <w:rPr>
                <w:rStyle w:val="A4"/>
              </w:rPr>
              <w:t xml:space="preserve"> grant from 4DMedical</w:t>
            </w:r>
            <w:r w:rsidR="00B63C5E">
              <w:rPr>
                <w:rStyle w:val="A4"/>
              </w:rPr>
              <w:t>.</w:t>
            </w:r>
          </w:p>
          <w:tbl>
            <w:tblPr>
              <w:tblStyle w:val="TableGrid"/>
              <w:tblW w:w="838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977"/>
              <w:gridCol w:w="1304"/>
              <w:gridCol w:w="1276"/>
              <w:gridCol w:w="1417"/>
            </w:tblGrid>
            <w:tr w:rsidR="00CF4A15" w:rsidRPr="00335844" w14:paraId="26FE731C" w14:textId="77777777" w:rsidTr="004C0058">
              <w:tc>
                <w:tcPr>
                  <w:tcW w:w="4390" w:type="dxa"/>
                  <w:gridSpan w:val="2"/>
                  <w:shd w:val="clear" w:color="auto" w:fill="auto"/>
                </w:tcPr>
                <w:p w14:paraId="26249F25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>Group</w:t>
                  </w:r>
                </w:p>
              </w:tc>
              <w:tc>
                <w:tcPr>
                  <w:tcW w:w="1304" w:type="dxa"/>
                </w:tcPr>
                <w:p w14:paraId="65FA0FED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>CF</w:t>
                  </w:r>
                  <w:r>
                    <w:rPr>
                      <w:rStyle w:val="A4"/>
                    </w:rPr>
                    <w:t xml:space="preserve"> &lt;5</w:t>
                  </w:r>
                  <w:r w:rsidRPr="00335844">
                    <w:rPr>
                      <w:rStyle w:val="A4"/>
                    </w:rPr>
                    <w:t>y</w:t>
                  </w:r>
                </w:p>
              </w:tc>
              <w:tc>
                <w:tcPr>
                  <w:tcW w:w="1276" w:type="dxa"/>
                </w:tcPr>
                <w:p w14:paraId="4541EDDC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>CF ≥</w:t>
                  </w:r>
                  <w:r>
                    <w:rPr>
                      <w:rStyle w:val="A4"/>
                    </w:rPr>
                    <w:t>5</w:t>
                  </w:r>
                  <w:r w:rsidRPr="00335844">
                    <w:rPr>
                      <w:rStyle w:val="A4"/>
                    </w:rPr>
                    <w:t>y</w:t>
                  </w:r>
                </w:p>
              </w:tc>
              <w:tc>
                <w:tcPr>
                  <w:tcW w:w="1417" w:type="dxa"/>
                </w:tcPr>
                <w:p w14:paraId="0D4EE6F1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>Control ≥</w:t>
                  </w:r>
                  <w:r>
                    <w:rPr>
                      <w:rStyle w:val="A4"/>
                    </w:rPr>
                    <w:t>5</w:t>
                  </w:r>
                  <w:r w:rsidRPr="00335844">
                    <w:rPr>
                      <w:rStyle w:val="A4"/>
                    </w:rPr>
                    <w:t>y</w:t>
                  </w:r>
                </w:p>
              </w:tc>
            </w:tr>
            <w:tr w:rsidR="00CF4A15" w:rsidRPr="00335844" w14:paraId="6D731D7C" w14:textId="77777777" w:rsidTr="004C0058">
              <w:tc>
                <w:tcPr>
                  <w:tcW w:w="4390" w:type="dxa"/>
                  <w:gridSpan w:val="2"/>
                </w:tcPr>
                <w:p w14:paraId="0A92BE8F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>N</w:t>
                  </w:r>
                </w:p>
              </w:tc>
              <w:tc>
                <w:tcPr>
                  <w:tcW w:w="1304" w:type="dxa"/>
                </w:tcPr>
                <w:p w14:paraId="3AA52F11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6E0B8513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21</w:t>
                  </w:r>
                </w:p>
              </w:tc>
              <w:tc>
                <w:tcPr>
                  <w:tcW w:w="1417" w:type="dxa"/>
                </w:tcPr>
                <w:p w14:paraId="4AFD2B4E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>4</w:t>
                  </w:r>
                </w:p>
              </w:tc>
            </w:tr>
            <w:tr w:rsidR="00CF4A15" w:rsidRPr="00335844" w14:paraId="035A64B6" w14:textId="77777777" w:rsidTr="004C0058">
              <w:tc>
                <w:tcPr>
                  <w:tcW w:w="4390" w:type="dxa"/>
                  <w:gridSpan w:val="2"/>
                </w:tcPr>
                <w:p w14:paraId="743F0931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 xml:space="preserve">Age (Years) </w:t>
                  </w:r>
                  <w:r>
                    <w:rPr>
                      <w:rStyle w:val="A4"/>
                    </w:rPr>
                    <w:t>- mean + SD</w:t>
                  </w:r>
                </w:p>
              </w:tc>
              <w:tc>
                <w:tcPr>
                  <w:tcW w:w="1304" w:type="dxa"/>
                </w:tcPr>
                <w:p w14:paraId="3150936A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>4.3-</w:t>
                  </w:r>
                  <w:r>
                    <w:rPr>
                      <w:rStyle w:val="A4"/>
                    </w:rPr>
                    <w:t>4.8</w:t>
                  </w:r>
                </w:p>
              </w:tc>
              <w:tc>
                <w:tcPr>
                  <w:tcW w:w="1276" w:type="dxa"/>
                </w:tcPr>
                <w:p w14:paraId="7B3411A9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5</w:t>
                  </w:r>
                  <w:r w:rsidRPr="00335844">
                    <w:rPr>
                      <w:rStyle w:val="A4"/>
                    </w:rPr>
                    <w:t>.1-18.3</w:t>
                  </w:r>
                </w:p>
              </w:tc>
              <w:tc>
                <w:tcPr>
                  <w:tcW w:w="1417" w:type="dxa"/>
                </w:tcPr>
                <w:p w14:paraId="17967D87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>6.7-17.8</w:t>
                  </w:r>
                </w:p>
              </w:tc>
            </w:tr>
            <w:tr w:rsidR="00CF4A15" w:rsidRPr="00335844" w14:paraId="57F8A6AA" w14:textId="77777777" w:rsidTr="004C0058">
              <w:tc>
                <w:tcPr>
                  <w:tcW w:w="4390" w:type="dxa"/>
                  <w:gridSpan w:val="2"/>
                </w:tcPr>
                <w:p w14:paraId="3DD6443A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Genotype - F508 homozygous</w:t>
                  </w:r>
                  <w:r>
                    <w:t xml:space="preserve"> </w:t>
                  </w:r>
                  <w:r>
                    <w:rPr>
                      <w:rStyle w:val="A4"/>
                    </w:rPr>
                    <w:t>(%)</w:t>
                  </w:r>
                </w:p>
              </w:tc>
              <w:tc>
                <w:tcPr>
                  <w:tcW w:w="1304" w:type="dxa"/>
                </w:tcPr>
                <w:p w14:paraId="6004420E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33.3%</w:t>
                  </w:r>
                </w:p>
              </w:tc>
              <w:tc>
                <w:tcPr>
                  <w:tcW w:w="1276" w:type="dxa"/>
                </w:tcPr>
                <w:p w14:paraId="1E66FCE3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42.9%</w:t>
                  </w:r>
                </w:p>
              </w:tc>
              <w:tc>
                <w:tcPr>
                  <w:tcW w:w="1417" w:type="dxa"/>
                </w:tcPr>
                <w:p w14:paraId="70005638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N/A</w:t>
                  </w:r>
                </w:p>
              </w:tc>
            </w:tr>
            <w:tr w:rsidR="00CF4A15" w:rsidRPr="00335844" w14:paraId="64D822FC" w14:textId="77777777" w:rsidTr="004C0058">
              <w:tc>
                <w:tcPr>
                  <w:tcW w:w="4390" w:type="dxa"/>
                  <w:gridSpan w:val="2"/>
                </w:tcPr>
                <w:p w14:paraId="791EBF91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>No previous spirometry</w:t>
                  </w:r>
                  <w:r>
                    <w:rPr>
                      <w:rStyle w:val="A4"/>
                    </w:rPr>
                    <w:t xml:space="preserve"> (%)</w:t>
                  </w:r>
                </w:p>
              </w:tc>
              <w:tc>
                <w:tcPr>
                  <w:tcW w:w="1304" w:type="dxa"/>
                </w:tcPr>
                <w:p w14:paraId="2BA80886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100%</w:t>
                  </w:r>
                </w:p>
              </w:tc>
              <w:tc>
                <w:tcPr>
                  <w:tcW w:w="1276" w:type="dxa"/>
                </w:tcPr>
                <w:p w14:paraId="685BD76A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0%</w:t>
                  </w:r>
                </w:p>
              </w:tc>
              <w:tc>
                <w:tcPr>
                  <w:tcW w:w="1417" w:type="dxa"/>
                </w:tcPr>
                <w:p w14:paraId="2663FC70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75%</w:t>
                  </w:r>
                </w:p>
              </w:tc>
            </w:tr>
            <w:tr w:rsidR="00CF4A15" w:rsidRPr="00335844" w14:paraId="54E7EC64" w14:textId="77777777" w:rsidTr="004C0058">
              <w:tc>
                <w:tcPr>
                  <w:tcW w:w="4390" w:type="dxa"/>
                  <w:gridSpan w:val="2"/>
                </w:tcPr>
                <w:p w14:paraId="52C316A1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>XV Scan</w:t>
                  </w:r>
                  <w:r>
                    <w:rPr>
                      <w:rStyle w:val="A4"/>
                    </w:rPr>
                    <w:t xml:space="preserve"> - </w:t>
                  </w:r>
                  <w:r w:rsidRPr="00335844">
                    <w:rPr>
                      <w:rStyle w:val="A4"/>
                    </w:rPr>
                    <w:t>Completed</w:t>
                  </w:r>
                  <w:r>
                    <w:rPr>
                      <w:rStyle w:val="A4"/>
                    </w:rPr>
                    <w:t xml:space="preserve"> (%)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21480CB6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100%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41C5D02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100%</w:t>
                  </w:r>
                </w:p>
              </w:tc>
              <w:tc>
                <w:tcPr>
                  <w:tcW w:w="1417" w:type="dxa"/>
                </w:tcPr>
                <w:p w14:paraId="2F290D17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100%</w:t>
                  </w:r>
                </w:p>
              </w:tc>
            </w:tr>
            <w:tr w:rsidR="00CF4A15" w:rsidRPr="00335844" w14:paraId="1119A153" w14:textId="77777777" w:rsidTr="004C0058">
              <w:tc>
                <w:tcPr>
                  <w:tcW w:w="8387" w:type="dxa"/>
                  <w:gridSpan w:val="5"/>
                </w:tcPr>
                <w:p w14:paraId="6064ABA4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>Lung function - Quality Score</w:t>
                  </w:r>
                </w:p>
              </w:tc>
            </w:tr>
            <w:tr w:rsidR="00CF4A15" w:rsidRPr="00335844" w14:paraId="3B91048C" w14:textId="77777777" w:rsidTr="004C0058">
              <w:tc>
                <w:tcPr>
                  <w:tcW w:w="1413" w:type="dxa"/>
                </w:tcPr>
                <w:p w14:paraId="1F4EB277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 xml:space="preserve">Spirometry </w:t>
                  </w:r>
                  <w:r>
                    <w:rPr>
                      <w:rStyle w:val="A4"/>
                    </w:rPr>
                    <w:t>(n, %)</w:t>
                  </w:r>
                </w:p>
              </w:tc>
              <w:tc>
                <w:tcPr>
                  <w:tcW w:w="2977" w:type="dxa"/>
                </w:tcPr>
                <w:p w14:paraId="29213362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High quality</w:t>
                  </w:r>
                </w:p>
                <w:p w14:paraId="79BCFA42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Low quality</w:t>
                  </w:r>
                  <w:r w:rsidRPr="00335844">
                    <w:rPr>
                      <w:rStyle w:val="A4"/>
                    </w:rPr>
                    <w:t xml:space="preserve"> or unsuccessful</w:t>
                  </w:r>
                </w:p>
              </w:tc>
              <w:tc>
                <w:tcPr>
                  <w:tcW w:w="1304" w:type="dxa"/>
                </w:tcPr>
                <w:p w14:paraId="61D9B700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0</w:t>
                  </w:r>
                </w:p>
                <w:p w14:paraId="784E731B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3 (100%)</w:t>
                  </w:r>
                </w:p>
              </w:tc>
              <w:tc>
                <w:tcPr>
                  <w:tcW w:w="1276" w:type="dxa"/>
                </w:tcPr>
                <w:p w14:paraId="74A2D987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18</w:t>
                  </w:r>
                  <w:r w:rsidRPr="00335844">
                    <w:rPr>
                      <w:rStyle w:val="A4"/>
                    </w:rPr>
                    <w:t xml:space="preserve"> </w:t>
                  </w:r>
                  <w:r>
                    <w:rPr>
                      <w:rStyle w:val="A4"/>
                    </w:rPr>
                    <w:t>(86%)</w:t>
                  </w:r>
                </w:p>
                <w:p w14:paraId="268000A9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3 (14%)</w:t>
                  </w:r>
                </w:p>
              </w:tc>
              <w:tc>
                <w:tcPr>
                  <w:tcW w:w="1417" w:type="dxa"/>
                </w:tcPr>
                <w:p w14:paraId="17A62D89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>3</w:t>
                  </w:r>
                  <w:r>
                    <w:rPr>
                      <w:rStyle w:val="A4"/>
                    </w:rPr>
                    <w:t xml:space="preserve"> (75%)</w:t>
                  </w:r>
                </w:p>
                <w:p w14:paraId="5D2DA7F3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>1</w:t>
                  </w:r>
                  <w:r>
                    <w:rPr>
                      <w:rStyle w:val="A4"/>
                    </w:rPr>
                    <w:t xml:space="preserve"> (25%)</w:t>
                  </w:r>
                </w:p>
              </w:tc>
            </w:tr>
            <w:tr w:rsidR="00CF4A15" w:rsidRPr="00335844" w14:paraId="4B3FECCB" w14:textId="77777777" w:rsidTr="004C0058">
              <w:tc>
                <w:tcPr>
                  <w:tcW w:w="1413" w:type="dxa"/>
                </w:tcPr>
                <w:p w14:paraId="45683E95" w14:textId="77777777" w:rsidR="00CF4A15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>MB</w:t>
                  </w:r>
                  <w:r>
                    <w:rPr>
                      <w:rStyle w:val="A4"/>
                    </w:rPr>
                    <w:t>N</w:t>
                  </w:r>
                  <w:r w:rsidRPr="00335844">
                    <w:rPr>
                      <w:rStyle w:val="A4"/>
                    </w:rPr>
                    <w:t>W</w:t>
                  </w:r>
                  <w:r>
                    <w:rPr>
                      <w:rStyle w:val="A4"/>
                    </w:rPr>
                    <w:t xml:space="preserve"> </w:t>
                  </w:r>
                </w:p>
                <w:p w14:paraId="4B35BE28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(n, %)</w:t>
                  </w:r>
                </w:p>
              </w:tc>
              <w:tc>
                <w:tcPr>
                  <w:tcW w:w="2977" w:type="dxa"/>
                </w:tcPr>
                <w:p w14:paraId="67CCF12D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High quality</w:t>
                  </w:r>
                </w:p>
                <w:p w14:paraId="3C4D33B9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Low quality</w:t>
                  </w:r>
                  <w:r w:rsidRPr="00335844">
                    <w:rPr>
                      <w:rStyle w:val="A4"/>
                    </w:rPr>
                    <w:t xml:space="preserve"> or unsuccessful</w:t>
                  </w:r>
                </w:p>
              </w:tc>
              <w:tc>
                <w:tcPr>
                  <w:tcW w:w="1304" w:type="dxa"/>
                </w:tcPr>
                <w:p w14:paraId="78C61B04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1 (33%)</w:t>
                  </w:r>
                </w:p>
                <w:p w14:paraId="63076E59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2 (67%)</w:t>
                  </w:r>
                </w:p>
              </w:tc>
              <w:tc>
                <w:tcPr>
                  <w:tcW w:w="1276" w:type="dxa"/>
                </w:tcPr>
                <w:p w14:paraId="2F213CF3" w14:textId="77777777" w:rsidR="00CF4A15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11 (52%)</w:t>
                  </w:r>
                </w:p>
                <w:p w14:paraId="292C1058" w14:textId="77777777" w:rsidR="00CF4A15" w:rsidRPr="00CA4D5E" w:rsidRDefault="00CF4A15" w:rsidP="00CF4A15">
                  <w:pPr>
                    <w:pStyle w:val="Default"/>
                  </w:pPr>
                  <w:r>
                    <w:t>10 (48%)</w:t>
                  </w:r>
                </w:p>
              </w:tc>
              <w:tc>
                <w:tcPr>
                  <w:tcW w:w="1417" w:type="dxa"/>
                </w:tcPr>
                <w:p w14:paraId="1A7BC02F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4 (100%)</w:t>
                  </w:r>
                </w:p>
                <w:p w14:paraId="1888981A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 xml:space="preserve">0 </w:t>
                  </w:r>
                </w:p>
              </w:tc>
            </w:tr>
            <w:tr w:rsidR="00CF4A15" w:rsidRPr="00335844" w14:paraId="2CF2A3D7" w14:textId="77777777" w:rsidTr="004C0058">
              <w:tc>
                <w:tcPr>
                  <w:tcW w:w="1413" w:type="dxa"/>
                </w:tcPr>
                <w:p w14:paraId="6E6C0F4B" w14:textId="77777777" w:rsidR="00CF4A15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>Diffusing Capacity</w:t>
                  </w:r>
                </w:p>
                <w:p w14:paraId="4293B17F" w14:textId="77777777" w:rsidR="00CF4A15" w:rsidRPr="000E0B7F" w:rsidRDefault="00CF4A15" w:rsidP="00CF4A15">
                  <w:pPr>
                    <w:pStyle w:val="Default"/>
                  </w:pPr>
                  <w:r>
                    <w:rPr>
                      <w:rStyle w:val="A4"/>
                    </w:rPr>
                    <w:t>(n, %)</w:t>
                  </w:r>
                </w:p>
              </w:tc>
              <w:tc>
                <w:tcPr>
                  <w:tcW w:w="2977" w:type="dxa"/>
                </w:tcPr>
                <w:p w14:paraId="370D3BB7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High quality</w:t>
                  </w:r>
                </w:p>
                <w:p w14:paraId="11B8A883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Low quality</w:t>
                  </w:r>
                  <w:r w:rsidRPr="00335844">
                    <w:rPr>
                      <w:rStyle w:val="A4"/>
                    </w:rPr>
                    <w:t xml:space="preserve"> or unsuccessful Lung volume </w:t>
                  </w:r>
                  <w:r>
                    <w:rPr>
                      <w:rStyle w:val="A4"/>
                    </w:rPr>
                    <w:t>&lt;1.5L</w:t>
                  </w:r>
                </w:p>
              </w:tc>
              <w:tc>
                <w:tcPr>
                  <w:tcW w:w="1304" w:type="dxa"/>
                </w:tcPr>
                <w:p w14:paraId="74255293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0</w:t>
                  </w:r>
                </w:p>
                <w:p w14:paraId="56DDB8F4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0</w:t>
                  </w:r>
                </w:p>
                <w:p w14:paraId="130D43AE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3 (100%)</w:t>
                  </w:r>
                </w:p>
              </w:tc>
              <w:tc>
                <w:tcPr>
                  <w:tcW w:w="1276" w:type="dxa"/>
                </w:tcPr>
                <w:p w14:paraId="7EEA3848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16 (76%)</w:t>
                  </w:r>
                </w:p>
                <w:p w14:paraId="7A7E2CB2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4 (19%)</w:t>
                  </w:r>
                </w:p>
                <w:p w14:paraId="5585A352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1 (5%)</w:t>
                  </w:r>
                </w:p>
              </w:tc>
              <w:tc>
                <w:tcPr>
                  <w:tcW w:w="1417" w:type="dxa"/>
                </w:tcPr>
                <w:p w14:paraId="02D767F8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>3</w:t>
                  </w:r>
                  <w:r>
                    <w:rPr>
                      <w:rStyle w:val="A4"/>
                    </w:rPr>
                    <w:t xml:space="preserve"> (75%)</w:t>
                  </w:r>
                </w:p>
                <w:p w14:paraId="1CBC4D25" w14:textId="77777777" w:rsidR="00CF4A15" w:rsidRPr="003F2FF8" w:rsidRDefault="00CF4A15" w:rsidP="00CF4A15">
                  <w:pPr>
                    <w:pStyle w:val="Default"/>
                  </w:pPr>
                  <w:r w:rsidRPr="00335844">
                    <w:rPr>
                      <w:rStyle w:val="A4"/>
                    </w:rPr>
                    <w:t>1</w:t>
                  </w:r>
                  <w:r>
                    <w:rPr>
                      <w:rStyle w:val="A4"/>
                    </w:rPr>
                    <w:t xml:space="preserve"> (25%)</w:t>
                  </w:r>
                </w:p>
                <w:p w14:paraId="7EE832D2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0</w:t>
                  </w:r>
                </w:p>
              </w:tc>
            </w:tr>
            <w:tr w:rsidR="00CF4A15" w:rsidRPr="00335844" w14:paraId="7F53B966" w14:textId="77777777" w:rsidTr="004C0058">
              <w:tc>
                <w:tcPr>
                  <w:tcW w:w="1413" w:type="dxa"/>
                </w:tcPr>
                <w:p w14:paraId="73844B31" w14:textId="77777777" w:rsidR="00CF4A15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Plethysmo-graphy</w:t>
                  </w:r>
                </w:p>
                <w:p w14:paraId="354579B5" w14:textId="77777777" w:rsidR="00CF4A15" w:rsidRPr="000E0B7F" w:rsidRDefault="00CF4A15" w:rsidP="00CF4A15">
                  <w:pPr>
                    <w:pStyle w:val="Default"/>
                  </w:pPr>
                  <w:r>
                    <w:rPr>
                      <w:rStyle w:val="A4"/>
                    </w:rPr>
                    <w:t>(n, %)</w:t>
                  </w:r>
                </w:p>
              </w:tc>
              <w:tc>
                <w:tcPr>
                  <w:tcW w:w="2977" w:type="dxa"/>
                </w:tcPr>
                <w:p w14:paraId="455AE59A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High quality</w:t>
                  </w:r>
                </w:p>
                <w:p w14:paraId="4B271E69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Low quality</w:t>
                  </w:r>
                  <w:r w:rsidRPr="00335844">
                    <w:rPr>
                      <w:rStyle w:val="A4"/>
                    </w:rPr>
                    <w:t xml:space="preserve"> or unsuccessful Too young to attempt</w:t>
                  </w:r>
                </w:p>
              </w:tc>
              <w:tc>
                <w:tcPr>
                  <w:tcW w:w="1304" w:type="dxa"/>
                </w:tcPr>
                <w:p w14:paraId="36C67757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0</w:t>
                  </w:r>
                </w:p>
                <w:p w14:paraId="76DD0C3C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0</w:t>
                  </w:r>
                </w:p>
                <w:p w14:paraId="192B4C84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3 (100%)</w:t>
                  </w:r>
                </w:p>
              </w:tc>
              <w:tc>
                <w:tcPr>
                  <w:tcW w:w="1276" w:type="dxa"/>
                </w:tcPr>
                <w:p w14:paraId="2D231B07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>10</w:t>
                  </w:r>
                  <w:r>
                    <w:rPr>
                      <w:rStyle w:val="A4"/>
                    </w:rPr>
                    <w:t xml:space="preserve"> (47%)</w:t>
                  </w:r>
                </w:p>
                <w:p w14:paraId="36D0A26D" w14:textId="77777777" w:rsidR="00CF4A15" w:rsidRPr="003F2FF8" w:rsidRDefault="00CF4A15" w:rsidP="00CF4A15">
                  <w:pPr>
                    <w:pStyle w:val="Pa12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335844">
                    <w:rPr>
                      <w:rStyle w:val="A4"/>
                    </w:rPr>
                    <w:t>5</w:t>
                  </w:r>
                  <w:r>
                    <w:rPr>
                      <w:rStyle w:val="A4"/>
                    </w:rPr>
                    <w:t xml:space="preserve"> (24%)</w:t>
                  </w:r>
                </w:p>
                <w:p w14:paraId="7CF402FD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6 (29%)</w:t>
                  </w:r>
                </w:p>
              </w:tc>
              <w:tc>
                <w:tcPr>
                  <w:tcW w:w="1417" w:type="dxa"/>
                </w:tcPr>
                <w:p w14:paraId="3823AA7B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 w:rsidRPr="00335844">
                    <w:rPr>
                      <w:rStyle w:val="A4"/>
                    </w:rPr>
                    <w:t>4</w:t>
                  </w:r>
                  <w:r>
                    <w:rPr>
                      <w:rStyle w:val="A4"/>
                    </w:rPr>
                    <w:t xml:space="preserve"> (100%)</w:t>
                  </w:r>
                </w:p>
                <w:p w14:paraId="4B501337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0</w:t>
                  </w:r>
                </w:p>
                <w:p w14:paraId="59FDF959" w14:textId="77777777" w:rsidR="00CF4A15" w:rsidRPr="00335844" w:rsidRDefault="00CF4A15" w:rsidP="00CF4A15">
                  <w:pPr>
                    <w:pStyle w:val="Pa12"/>
                    <w:jc w:val="both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0</w:t>
                  </w:r>
                </w:p>
              </w:tc>
            </w:tr>
          </w:tbl>
          <w:p w14:paraId="1FF1A88F" w14:textId="2B3EE003" w:rsidR="001564A4" w:rsidRPr="003850B7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</w:p>
          <w:p w14:paraId="14DC37E4" w14:textId="77777777" w:rsidR="001564A4" w:rsidRPr="003850B7" w:rsidRDefault="001564A4" w:rsidP="000A28E2">
            <w:pPr>
              <w:pStyle w:val="Default"/>
              <w:rPr>
                <w:rStyle w:val="A4"/>
                <w:b/>
                <w:bCs/>
              </w:rPr>
            </w:pPr>
          </w:p>
          <w:p w14:paraId="5F58D34F" w14:textId="77777777" w:rsidR="001564A4" w:rsidRPr="003850B7" w:rsidRDefault="001564A4" w:rsidP="000A28E2">
            <w:pPr>
              <w:pStyle w:val="Default"/>
              <w:rPr>
                <w:rStyle w:val="A4"/>
                <w:b/>
                <w:bCs/>
              </w:rPr>
            </w:pP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  <w:r w:rsidRPr="003850B7">
              <w:rPr>
                <w:rStyle w:val="A4"/>
                <w:b/>
                <w:bCs/>
              </w:rPr>
              <w:br/>
            </w:r>
          </w:p>
        </w:tc>
      </w:tr>
    </w:tbl>
    <w:p w14:paraId="2FDD4BDE" w14:textId="77777777" w:rsidR="00E0700F" w:rsidRDefault="00E0700F" w:rsidP="00CF4A15"/>
    <w:sectPr w:rsidR="00E0700F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4687" w14:textId="77777777" w:rsidR="00B310A1" w:rsidRDefault="00B310A1" w:rsidP="00B310A1">
      <w:r>
        <w:separator/>
      </w:r>
    </w:p>
  </w:endnote>
  <w:endnote w:type="continuationSeparator" w:id="0">
    <w:p w14:paraId="2A1001AA" w14:textId="77777777" w:rsidR="00B310A1" w:rsidRDefault="00B310A1" w:rsidP="00B3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0F77" w14:textId="4646D418" w:rsidR="00B310A1" w:rsidRDefault="00B310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43657A" wp14:editId="65E7D2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3D62A" w14:textId="1C3BE952" w:rsidR="00B310A1" w:rsidRPr="00B310A1" w:rsidRDefault="00B310A1" w:rsidP="00B310A1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B310A1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365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603D62A" w14:textId="1C3BE952" w:rsidR="00B310A1" w:rsidRPr="00B310A1" w:rsidRDefault="00B310A1" w:rsidP="00B310A1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B310A1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7419" w14:textId="1E014A4E" w:rsidR="00B310A1" w:rsidRDefault="00B310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28C56E5" wp14:editId="4EF7F2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C86E5" w14:textId="5E2FCDA4" w:rsidR="00B310A1" w:rsidRPr="00B310A1" w:rsidRDefault="00B310A1" w:rsidP="00B310A1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B310A1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C56E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3DC86E5" w14:textId="5E2FCDA4" w:rsidR="00B310A1" w:rsidRPr="00B310A1" w:rsidRDefault="00B310A1" w:rsidP="00B310A1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B310A1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A1F0" w14:textId="77777777" w:rsidR="00B310A1" w:rsidRDefault="00B310A1" w:rsidP="00B310A1">
      <w:r>
        <w:separator/>
      </w:r>
    </w:p>
  </w:footnote>
  <w:footnote w:type="continuationSeparator" w:id="0">
    <w:p w14:paraId="699F6C5B" w14:textId="77777777" w:rsidR="00B310A1" w:rsidRDefault="00B310A1" w:rsidP="00B3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8C74" w14:textId="052D0547" w:rsidR="00B310A1" w:rsidRDefault="00B310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301743" wp14:editId="59327B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7CF12" w14:textId="055FB903" w:rsidR="00B310A1" w:rsidRPr="00B310A1" w:rsidRDefault="00B310A1" w:rsidP="00B310A1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B310A1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017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DC7CF12" w14:textId="055FB903" w:rsidR="00B310A1" w:rsidRPr="00B310A1" w:rsidRDefault="00B310A1" w:rsidP="00B310A1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B310A1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F5B8" w14:textId="0F64B97F" w:rsidR="00B310A1" w:rsidRDefault="00B310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2CFD6D" wp14:editId="7501360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692958" w14:textId="6763C5F8" w:rsidR="00B310A1" w:rsidRPr="00B310A1" w:rsidRDefault="00B310A1" w:rsidP="00B310A1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B310A1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CFD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2692958" w14:textId="6763C5F8" w:rsidR="00B310A1" w:rsidRPr="00B310A1" w:rsidRDefault="00B310A1" w:rsidP="00B310A1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B310A1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80564"/>
    <w:rsid w:val="000C1163"/>
    <w:rsid w:val="000E0B7F"/>
    <w:rsid w:val="001564A4"/>
    <w:rsid w:val="002B4BC7"/>
    <w:rsid w:val="00303911"/>
    <w:rsid w:val="00304E51"/>
    <w:rsid w:val="00331A16"/>
    <w:rsid w:val="00335844"/>
    <w:rsid w:val="00371329"/>
    <w:rsid w:val="003850B7"/>
    <w:rsid w:val="003B2694"/>
    <w:rsid w:val="003C6984"/>
    <w:rsid w:val="00432DD0"/>
    <w:rsid w:val="00447FB8"/>
    <w:rsid w:val="0045669B"/>
    <w:rsid w:val="0051574E"/>
    <w:rsid w:val="005268F3"/>
    <w:rsid w:val="00557459"/>
    <w:rsid w:val="00633091"/>
    <w:rsid w:val="006E056F"/>
    <w:rsid w:val="00727266"/>
    <w:rsid w:val="0073496C"/>
    <w:rsid w:val="00754A86"/>
    <w:rsid w:val="00793CEE"/>
    <w:rsid w:val="00810FB1"/>
    <w:rsid w:val="008803FA"/>
    <w:rsid w:val="00890BDD"/>
    <w:rsid w:val="00895A8B"/>
    <w:rsid w:val="008E371E"/>
    <w:rsid w:val="009A516E"/>
    <w:rsid w:val="00A24C9C"/>
    <w:rsid w:val="00A26A51"/>
    <w:rsid w:val="00A752C2"/>
    <w:rsid w:val="00A835D2"/>
    <w:rsid w:val="00B040D4"/>
    <w:rsid w:val="00B12E32"/>
    <w:rsid w:val="00B310A1"/>
    <w:rsid w:val="00B63C5E"/>
    <w:rsid w:val="00B86AEC"/>
    <w:rsid w:val="00BE0B31"/>
    <w:rsid w:val="00BE412D"/>
    <w:rsid w:val="00C2753D"/>
    <w:rsid w:val="00C44A91"/>
    <w:rsid w:val="00CA4D5E"/>
    <w:rsid w:val="00CB7E51"/>
    <w:rsid w:val="00CF4A15"/>
    <w:rsid w:val="00D61CFE"/>
    <w:rsid w:val="00E0700F"/>
    <w:rsid w:val="00E25B93"/>
    <w:rsid w:val="00EE1545"/>
    <w:rsid w:val="00F0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9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B310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0A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310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0A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2B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3C698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C2753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57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4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459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459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3CDD38-9106-4E7C-8249-1CE70C81F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purl.org/dc/elements/1.1/"/>
    <ds:schemaRef ds:uri="cab52c9b-ab33-4221-8af9-54f8f2b86a80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c8a2b7b-0bee-4c48-b0a6-23db8982d3bc"/>
    <ds:schemaRef ds:uri="6911e96c-4cc4-42d5-8e43-f93924cf6a05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6817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Phillips, Jessica (Health)</cp:lastModifiedBy>
  <cp:revision>3</cp:revision>
  <dcterms:created xsi:type="dcterms:W3CDTF">2024-10-03T07:19:00Z</dcterms:created>
  <dcterms:modified xsi:type="dcterms:W3CDTF">2024-10-08T00:25:00Z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#a80000,12,Arial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#a80000,12,arial</vt:lpwstr>
  </property>
  <property fmtid="{D5CDD505-2E9C-101B-9397-08002B2CF9AE}" pid="9" name="ClassificationContentMarkingFooterText">
    <vt:lpwstr>OFFICIAL </vt:lpwstr>
  </property>
</Properties>
</file>