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1"/>
      </w:tblGrid>
      <w:tr w:rsidR="001564A4" w:rsidRPr="0050053A" w14:paraId="5C38377B" w14:textId="77777777" w:rsidTr="00C208F3">
        <w:trPr>
          <w:trHeight w:val="1187"/>
          <w:jc w:val="center"/>
        </w:trPr>
        <w:tc>
          <w:tcPr>
            <w:tcW w:w="9191" w:type="dxa"/>
            <w:shd w:val="clear" w:color="auto" w:fill="auto"/>
          </w:tcPr>
          <w:p w14:paraId="5C44F357" w14:textId="5D8F0BC4" w:rsidR="001564A4" w:rsidRPr="0050053A" w:rsidRDefault="00C208F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C208F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Estimating canopy and stand structure in hybrid poplar plantations combining digital terrestrial photography and multispectral UAV imagery.</w:t>
            </w:r>
          </w:p>
        </w:tc>
      </w:tr>
      <w:tr w:rsidR="001564A4" w:rsidRPr="0050053A" w14:paraId="6DAF615A" w14:textId="77777777" w:rsidTr="00C208F3">
        <w:trPr>
          <w:trHeight w:hRule="exact" w:val="11900"/>
          <w:jc w:val="center"/>
        </w:trPr>
        <w:tc>
          <w:tcPr>
            <w:tcW w:w="9191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669B01AC" w:rsidR="001564A4" w:rsidRPr="0050053A" w:rsidRDefault="001564A4" w:rsidP="00C208F3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85B249A" w14:textId="3AD7A8E0" w:rsidR="00C208F3" w:rsidRDefault="00C208F3" w:rsidP="00C208F3">
            <w:pPr>
              <w:pStyle w:val="Pa12"/>
              <w:jc w:val="both"/>
              <w:rPr>
                <w:sz w:val="22"/>
                <w:szCs w:val="22"/>
              </w:rPr>
            </w:pPr>
            <w:r w:rsidRPr="00C208F3">
              <w:rPr>
                <w:sz w:val="22"/>
                <w:szCs w:val="22"/>
              </w:rPr>
              <w:t xml:space="preserve">In today’s context, the adoption of precision forestry tools for managing poplar plantations is highly desirable (Corona et al., 2022; </w:t>
            </w:r>
            <w:proofErr w:type="spellStart"/>
            <w:r w:rsidRPr="00C208F3">
              <w:rPr>
                <w:sz w:val="22"/>
                <w:szCs w:val="22"/>
              </w:rPr>
              <w:t>Fardusi</w:t>
            </w:r>
            <w:proofErr w:type="spellEnd"/>
            <w:r w:rsidRPr="00C208F3">
              <w:rPr>
                <w:sz w:val="22"/>
                <w:szCs w:val="22"/>
              </w:rPr>
              <w:t xml:space="preserve"> et al., 2017). These new instruments offer the potential to update and develop advanced monitoring systems, providing precise estimation of various poplar variables at both stand and tree levels (Dash et al., 2016; </w:t>
            </w:r>
            <w:proofErr w:type="spellStart"/>
            <w:r w:rsidRPr="00C208F3">
              <w:rPr>
                <w:sz w:val="22"/>
                <w:szCs w:val="22"/>
              </w:rPr>
              <w:t>Fardusi</w:t>
            </w:r>
            <w:proofErr w:type="spellEnd"/>
            <w:r w:rsidRPr="00C208F3">
              <w:rPr>
                <w:sz w:val="22"/>
                <w:szCs w:val="22"/>
              </w:rPr>
              <w:t xml:space="preserve"> et al., 2017; </w:t>
            </w:r>
            <w:proofErr w:type="spellStart"/>
            <w:r w:rsidRPr="00C208F3">
              <w:rPr>
                <w:sz w:val="22"/>
                <w:szCs w:val="22"/>
              </w:rPr>
              <w:t>Puletti</w:t>
            </w:r>
            <w:proofErr w:type="spellEnd"/>
            <w:r w:rsidRPr="00C208F3">
              <w:rPr>
                <w:sz w:val="22"/>
                <w:szCs w:val="22"/>
              </w:rPr>
              <w:t xml:space="preserve"> et al., 2019). In fact, timely and accurate monitoring of poplar plantations is essential (Cantamessa et al., 2022; Meroni et al., 2004; Pu et al., 2021).</w:t>
            </w:r>
            <w:r>
              <w:rPr>
                <w:sz w:val="22"/>
                <w:szCs w:val="22"/>
              </w:rPr>
              <w:t xml:space="preserve"> </w:t>
            </w:r>
            <w:r w:rsidRPr="00C208F3">
              <w:rPr>
                <w:sz w:val="22"/>
                <w:szCs w:val="22"/>
              </w:rPr>
              <w:t>Among the various poplar plantation variables, precise estimates of canopy characteristics such as canopy cover (CC), Leaf Area Index (LAI), and Crown Volume (</w:t>
            </w:r>
            <w:proofErr w:type="spellStart"/>
            <w:r w:rsidRPr="00C208F3">
              <w:rPr>
                <w:sz w:val="22"/>
                <w:szCs w:val="22"/>
              </w:rPr>
              <w:t>Vcr</w:t>
            </w:r>
            <w:proofErr w:type="spellEnd"/>
            <w:r w:rsidRPr="00C208F3">
              <w:rPr>
                <w:sz w:val="22"/>
                <w:szCs w:val="22"/>
              </w:rPr>
              <w:t>) are of fundamental importance for effective poplar plantation</w:t>
            </w:r>
            <w:r>
              <w:rPr>
                <w:sz w:val="22"/>
                <w:szCs w:val="22"/>
              </w:rPr>
              <w:t xml:space="preserve"> </w:t>
            </w:r>
            <w:r w:rsidRPr="00C208F3">
              <w:rPr>
                <w:sz w:val="22"/>
                <w:szCs w:val="22"/>
              </w:rPr>
              <w:t>management. These variables have a direct impact on the growth rate and the occurrence of poplar stress (Gago et al., 2015; Li et al., 2023).</w:t>
            </w:r>
          </w:p>
          <w:p w14:paraId="1B39336E" w14:textId="04FBF188" w:rsidR="001564A4" w:rsidRPr="0050053A" w:rsidRDefault="001564A4" w:rsidP="00C208F3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81B1D0" w14:textId="77777777" w:rsidR="00C208F3" w:rsidRPr="00C208F3" w:rsidRDefault="00C208F3" w:rsidP="00C208F3">
            <w:pPr>
              <w:pStyle w:val="Pa12"/>
              <w:jc w:val="both"/>
              <w:rPr>
                <w:sz w:val="22"/>
                <w:szCs w:val="22"/>
              </w:rPr>
            </w:pPr>
            <w:r w:rsidRPr="00C208F3">
              <w:rPr>
                <w:sz w:val="22"/>
                <w:szCs w:val="22"/>
              </w:rPr>
              <w:t xml:space="preserve">In this study, we examined the use of multispectral photogrammetric data collected via UAVs with a </w:t>
            </w:r>
            <w:proofErr w:type="spellStart"/>
            <w:r w:rsidRPr="00C208F3">
              <w:rPr>
                <w:sz w:val="22"/>
                <w:szCs w:val="22"/>
              </w:rPr>
              <w:t>Micasense</w:t>
            </w:r>
            <w:proofErr w:type="spellEnd"/>
            <w:r w:rsidRPr="00C208F3">
              <w:rPr>
                <w:sz w:val="22"/>
                <w:szCs w:val="22"/>
              </w:rPr>
              <w:t xml:space="preserve"> </w:t>
            </w:r>
            <w:proofErr w:type="spellStart"/>
            <w:r w:rsidRPr="00C208F3">
              <w:rPr>
                <w:sz w:val="22"/>
                <w:szCs w:val="22"/>
              </w:rPr>
              <w:t>RedEdge</w:t>
            </w:r>
            <w:proofErr w:type="spellEnd"/>
            <w:r w:rsidRPr="00C208F3">
              <w:rPr>
                <w:sz w:val="22"/>
                <w:szCs w:val="22"/>
              </w:rPr>
              <w:t xml:space="preserve"> camera for the retrieval of canopy and stand attributes within hybrid poplar plantations, developing a methodology that integrates terrestrial digital photos to predict the above-mentioned variables.</w:t>
            </w:r>
          </w:p>
          <w:p w14:paraId="22D283C6" w14:textId="77777777" w:rsidR="00C208F3" w:rsidRDefault="00C208F3" w:rsidP="00C208F3">
            <w:pPr>
              <w:pStyle w:val="Pa12"/>
              <w:jc w:val="both"/>
              <w:rPr>
                <w:sz w:val="22"/>
                <w:szCs w:val="22"/>
              </w:rPr>
            </w:pPr>
            <w:r w:rsidRPr="00C208F3">
              <w:rPr>
                <w:sz w:val="22"/>
                <w:szCs w:val="22"/>
              </w:rPr>
              <w:t xml:space="preserve">Terrestrial digital photography was used at the plot level to acquire digital cover photography (DCP) images (Macfarlane et al., 2007) under overcast sky conditions along a grid of 16 sampling points using a digital single-lens reflex camera (Nikon D90) fitted with an AF Nikkor 50mm 1:1.8 D fixed lens, which yields a field of view of about 30°. From DCP, we calculated the canopy variables: CC, LAI, and </w:t>
            </w:r>
            <w:proofErr w:type="spellStart"/>
            <w:r w:rsidRPr="00C208F3">
              <w:rPr>
                <w:sz w:val="22"/>
                <w:szCs w:val="22"/>
              </w:rPr>
              <w:t>Vcr</w:t>
            </w:r>
            <w:proofErr w:type="spellEnd"/>
            <w:r w:rsidRPr="00C208F3">
              <w:rPr>
                <w:sz w:val="22"/>
                <w:szCs w:val="22"/>
              </w:rPr>
              <w:t xml:space="preserve">. The multispectral UAV </w:t>
            </w:r>
            <w:proofErr w:type="spellStart"/>
            <w:r w:rsidRPr="00C208F3">
              <w:rPr>
                <w:sz w:val="22"/>
                <w:szCs w:val="22"/>
              </w:rPr>
              <w:t>orthomosaic</w:t>
            </w:r>
            <w:proofErr w:type="spellEnd"/>
            <w:r w:rsidRPr="00C208F3">
              <w:rPr>
                <w:sz w:val="22"/>
                <w:szCs w:val="22"/>
              </w:rPr>
              <w:t xml:space="preserve"> was instead used to segment the single crown of the poplar plantation using the </w:t>
            </w:r>
            <w:proofErr w:type="spellStart"/>
            <w:r w:rsidRPr="00C208F3">
              <w:rPr>
                <w:sz w:val="22"/>
                <w:szCs w:val="22"/>
              </w:rPr>
              <w:t>RedEdge</w:t>
            </w:r>
            <w:proofErr w:type="spellEnd"/>
            <w:r w:rsidRPr="00C208F3">
              <w:rPr>
                <w:sz w:val="22"/>
                <w:szCs w:val="22"/>
              </w:rPr>
              <w:t xml:space="preserve"> band and a Simple Linear Iterative Clustering (SLIC) algorithm. Based on the segmented tree crowns, the Grey Level Co-occurrence Matrix (GLCM) was calculated for each crown based on different spectral bands and used to predict the canopy variables at the single tree level.</w:t>
            </w:r>
          </w:p>
          <w:p w14:paraId="6BF3F094" w14:textId="445B3147" w:rsidR="001564A4" w:rsidRPr="0050053A" w:rsidRDefault="001564A4" w:rsidP="00C208F3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39084D7E" w14:textId="77777777" w:rsidR="00C208F3" w:rsidRDefault="00C208F3" w:rsidP="00C208F3">
            <w:pPr>
              <w:pStyle w:val="Pa12"/>
              <w:jc w:val="both"/>
            </w:pPr>
            <w:r>
              <w:t xml:space="preserve">The accuracy was calculated based on an independent dataset, and the results showed a significant correlation between predicted and measured values of the considered poplar plantation variables (i.e., </w:t>
            </w:r>
            <w:proofErr w:type="spellStart"/>
            <w:r>
              <w:t>Vcr</w:t>
            </w:r>
            <w:proofErr w:type="spellEnd"/>
            <w:r>
              <w:t>, CC, and LAI) with R</w:t>
            </w:r>
            <w:r w:rsidRPr="009D15B5">
              <w:rPr>
                <w:vertAlign w:val="superscript"/>
              </w:rPr>
              <w:t xml:space="preserve">2 </w:t>
            </w:r>
            <w:r>
              <w:t xml:space="preserve">consistently higher or equal to 0.86 (R2 val.) for all the tested models. The most accurate predictions for LAI and CC were achieved using GLCM variance calculated on the </w:t>
            </w:r>
            <w:proofErr w:type="spellStart"/>
            <w:r>
              <w:t>RedEdge</w:t>
            </w:r>
            <w:proofErr w:type="spellEnd"/>
            <w:r>
              <w:t xml:space="preserve"> band, while GLCM entropy calculated on the base of the NIR band performed for </w:t>
            </w:r>
            <w:proofErr w:type="spellStart"/>
            <w:r>
              <w:t>Vcr</w:t>
            </w:r>
            <w:proofErr w:type="spellEnd"/>
            <w:r>
              <w:t>. The MAE and the RMSE are generally consistent with the standard deviations of the observed values for all the variables (</w:t>
            </w:r>
            <w:proofErr w:type="spellStart"/>
            <w:r>
              <w:t>Vcr</w:t>
            </w:r>
            <w:proofErr w:type="spellEnd"/>
            <w:r>
              <w:t xml:space="preserve"> = 131.2; CC = 0.23; LAI = 0.64).</w:t>
            </w:r>
          </w:p>
          <w:p w14:paraId="652F7BE1" w14:textId="77777777" w:rsidR="001564A4" w:rsidRPr="0050053A" w:rsidRDefault="001564A4" w:rsidP="00C208F3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3EC7B78" w14:textId="6EC424CB" w:rsidR="00C208F3" w:rsidRDefault="00C208F3" w:rsidP="00C208F3">
            <w:pPr>
              <w:pStyle w:val="Pa12"/>
              <w:jc w:val="both"/>
            </w:pPr>
            <w:r w:rsidRPr="00090B7E">
              <w:t xml:space="preserve">This research underscores the importance of GLCM texture metrics derived from multispectral UAV </w:t>
            </w:r>
            <w:proofErr w:type="spellStart"/>
            <w:r w:rsidRPr="00090B7E">
              <w:t>orthomosaic</w:t>
            </w:r>
            <w:proofErr w:type="spellEnd"/>
            <w:r w:rsidRPr="00090B7E">
              <w:t xml:space="preserve"> as significant explanatory variables for accurately predicting poplar plantation canopy characteristics. The results of this study suggest that the proposed approach provides a dependable and efficient alternative to traditional measurement techniques, necessitating only a limited number of field plot acquisitions. Additionally, the use of DPC also reduces the time required for plot acquisition compared to extensive traditional field campaigns.</w:t>
            </w:r>
          </w:p>
          <w:p w14:paraId="69B04572" w14:textId="7249626A" w:rsidR="001564A4" w:rsidRPr="00C208F3" w:rsidRDefault="001564A4" w:rsidP="00C208F3">
            <w:pPr>
              <w:pStyle w:val="Pa12"/>
              <w:jc w:val="both"/>
              <w:rPr>
                <w:sz w:val="22"/>
                <w:szCs w:val="22"/>
                <w:lang w:val="en-GB"/>
              </w:rPr>
            </w:pP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65A73F06" w14:textId="47B9312F" w:rsidR="001F0AC4" w:rsidRDefault="001F0AC4" w:rsidP="001564A4"/>
    <w:p w14:paraId="22303DDB" w14:textId="77777777" w:rsidR="00C208F3" w:rsidRPr="00C208F3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  <w:lang w:val="it-IT"/>
        </w:rPr>
      </w:pPr>
      <w:r w:rsidRPr="00090B7E">
        <w:rPr>
          <w:rFonts w:ascii="Calibri" w:hAnsi="Calibri" w:cs="Calibri"/>
          <w:sz w:val="20"/>
          <w:szCs w:val="20"/>
        </w:rPr>
        <w:lastRenderedPageBreak/>
        <w:fldChar w:fldCharType="begin" w:fldLock="1"/>
      </w:r>
      <w:r w:rsidRPr="00C208F3">
        <w:rPr>
          <w:rFonts w:ascii="Calibri" w:hAnsi="Calibri" w:cs="Calibri"/>
          <w:sz w:val="20"/>
          <w:szCs w:val="20"/>
          <w:lang w:val="it-IT"/>
        </w:rPr>
        <w:instrText xml:space="preserve">ADDIN Mendeley Bibliography CSL_BIBLIOGRAPHY </w:instrText>
      </w:r>
      <w:r w:rsidRPr="00090B7E">
        <w:rPr>
          <w:rFonts w:ascii="Calibri" w:hAnsi="Calibri" w:cs="Calibri"/>
          <w:sz w:val="20"/>
          <w:szCs w:val="20"/>
        </w:rPr>
        <w:fldChar w:fldCharType="separate"/>
      </w:r>
      <w:r w:rsidRPr="00C208F3">
        <w:rPr>
          <w:rFonts w:ascii="Calibri" w:hAnsi="Calibri" w:cs="Calibri"/>
          <w:noProof/>
          <w:sz w:val="20"/>
          <w:szCs w:val="20"/>
          <w:lang w:val="it-IT"/>
        </w:rPr>
        <w:t xml:space="preserve">Cantamessa, S., Rosso, L., Giorcelli, A., &amp; Chiarabaglio, P. M. (2022). </w:t>
      </w:r>
      <w:r w:rsidRPr="00090B7E">
        <w:rPr>
          <w:rFonts w:ascii="Calibri" w:hAnsi="Calibri" w:cs="Calibri"/>
          <w:noProof/>
          <w:sz w:val="20"/>
          <w:szCs w:val="20"/>
        </w:rPr>
        <w:t xml:space="preserve">Correction: Cantamessa et al. The Environmental Impact of Poplar Stand Management: A Life Cycle Assessment Study of Different Scenarios, (Forests, (2022), 13, (464), 10.3390/f13030464). </w:t>
      </w:r>
      <w:r w:rsidRPr="00C208F3">
        <w:rPr>
          <w:rFonts w:ascii="Calibri" w:hAnsi="Calibri" w:cs="Calibri"/>
          <w:i/>
          <w:iCs/>
          <w:noProof/>
          <w:sz w:val="20"/>
          <w:szCs w:val="20"/>
          <w:lang w:val="it-IT"/>
        </w:rPr>
        <w:t>Forests</w:t>
      </w:r>
      <w:r w:rsidRPr="00C208F3">
        <w:rPr>
          <w:rFonts w:ascii="Calibri" w:hAnsi="Calibri" w:cs="Calibri"/>
          <w:noProof/>
          <w:sz w:val="20"/>
          <w:szCs w:val="20"/>
          <w:lang w:val="it-IT"/>
        </w:rPr>
        <w:t xml:space="preserve">, </w:t>
      </w:r>
      <w:r w:rsidRPr="00C208F3">
        <w:rPr>
          <w:rFonts w:ascii="Calibri" w:hAnsi="Calibri" w:cs="Calibri"/>
          <w:i/>
          <w:iCs/>
          <w:noProof/>
          <w:sz w:val="20"/>
          <w:szCs w:val="20"/>
          <w:lang w:val="it-IT"/>
        </w:rPr>
        <w:t>13</w:t>
      </w:r>
      <w:r w:rsidRPr="00C208F3">
        <w:rPr>
          <w:rFonts w:ascii="Calibri" w:hAnsi="Calibri" w:cs="Calibri"/>
          <w:noProof/>
          <w:sz w:val="20"/>
          <w:szCs w:val="20"/>
          <w:lang w:val="it-IT"/>
        </w:rPr>
        <w:t>(9). https://doi.org/10.3390/f13091423</w:t>
      </w:r>
    </w:p>
    <w:p w14:paraId="2FC1B3A8" w14:textId="77777777" w:rsidR="00C208F3" w:rsidRPr="00C208F3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  <w:lang w:val="it-IT"/>
        </w:rPr>
      </w:pPr>
      <w:r w:rsidRPr="00C208F3">
        <w:rPr>
          <w:rFonts w:ascii="Calibri" w:hAnsi="Calibri" w:cs="Calibri"/>
          <w:noProof/>
          <w:sz w:val="20"/>
          <w:szCs w:val="20"/>
          <w:lang w:val="it-IT"/>
        </w:rPr>
        <w:t xml:space="preserve">Corona, P., Marchi, E., &amp; Chirici, G. (2022). </w:t>
      </w:r>
      <w:r w:rsidRPr="00C208F3">
        <w:rPr>
          <w:rFonts w:ascii="Calibri" w:hAnsi="Calibri" w:cs="Calibri"/>
          <w:i/>
          <w:iCs/>
          <w:noProof/>
          <w:sz w:val="20"/>
          <w:szCs w:val="20"/>
          <w:lang w:val="it-IT"/>
        </w:rPr>
        <w:t>Prospettive e potenzialità della digitalizzazione del settore forestale in Italia Linee guida</w:t>
      </w:r>
      <w:r w:rsidRPr="00C208F3">
        <w:rPr>
          <w:rFonts w:ascii="Calibri" w:hAnsi="Calibri" w:cs="Calibri"/>
          <w:noProof/>
          <w:sz w:val="20"/>
          <w:szCs w:val="20"/>
          <w:lang w:val="it-IT"/>
        </w:rPr>
        <w:t>.</w:t>
      </w:r>
    </w:p>
    <w:p w14:paraId="3515F73E" w14:textId="77777777" w:rsidR="00C208F3" w:rsidRPr="00090B7E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</w:rPr>
      </w:pPr>
      <w:r w:rsidRPr="00090B7E">
        <w:rPr>
          <w:rFonts w:ascii="Calibri" w:hAnsi="Calibri" w:cs="Calibri"/>
          <w:noProof/>
          <w:sz w:val="20"/>
          <w:szCs w:val="20"/>
        </w:rPr>
        <w:t xml:space="preserve">Dash, J., Pont, D., Watt, M., Brownlie, R., Dunningham, A., &amp; Pearse, G. (2016). Remote sensing for precision forestry.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NZ Journal of Forestry</w:t>
      </w:r>
      <w:r w:rsidRPr="00090B7E">
        <w:rPr>
          <w:rFonts w:ascii="Calibri" w:hAnsi="Calibri" w:cs="Calibri"/>
          <w:noProof/>
          <w:sz w:val="20"/>
          <w:szCs w:val="20"/>
        </w:rPr>
        <w:t xml:space="preserve">,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June</w:t>
      </w:r>
      <w:r w:rsidRPr="00090B7E">
        <w:rPr>
          <w:rFonts w:ascii="Calibri" w:hAnsi="Calibri" w:cs="Calibri"/>
          <w:noProof/>
          <w:sz w:val="20"/>
          <w:szCs w:val="20"/>
        </w:rPr>
        <w:t>, 15–24.</w:t>
      </w:r>
    </w:p>
    <w:p w14:paraId="26BADCBE" w14:textId="77777777" w:rsidR="00C208F3" w:rsidRPr="00C208F3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  <w:lang w:val="pt-PT"/>
        </w:rPr>
      </w:pPr>
      <w:r w:rsidRPr="00C208F3">
        <w:rPr>
          <w:rFonts w:ascii="Calibri" w:hAnsi="Calibri" w:cs="Calibri"/>
          <w:noProof/>
          <w:sz w:val="20"/>
          <w:szCs w:val="20"/>
          <w:lang w:val="it-IT"/>
        </w:rPr>
        <w:t xml:space="preserve">Fardusi, M. J., Chianucci, F., &amp; Barbati, A. (2017).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Concept to Practices of Geospatial Information Tools to Assist Forest Management and Planning under Precision Forestry Framework : a review</w:t>
      </w:r>
      <w:r w:rsidRPr="00090B7E">
        <w:rPr>
          <w:rFonts w:ascii="Calibri" w:hAnsi="Calibri" w:cs="Calibri"/>
          <w:noProof/>
          <w:sz w:val="20"/>
          <w:szCs w:val="20"/>
        </w:rPr>
        <w:t xml:space="preserve">. </w:t>
      </w:r>
      <w:r w:rsidRPr="00C208F3">
        <w:rPr>
          <w:rFonts w:ascii="Calibri" w:hAnsi="Calibri" w:cs="Calibri"/>
          <w:i/>
          <w:iCs/>
          <w:noProof/>
          <w:sz w:val="20"/>
          <w:szCs w:val="20"/>
          <w:lang w:val="pt-PT"/>
        </w:rPr>
        <w:t>41</w:t>
      </w:r>
      <w:r w:rsidRPr="00C208F3">
        <w:rPr>
          <w:rFonts w:ascii="Calibri" w:hAnsi="Calibri" w:cs="Calibri"/>
          <w:noProof/>
          <w:sz w:val="20"/>
          <w:szCs w:val="20"/>
          <w:lang w:val="pt-PT"/>
        </w:rPr>
        <w:t>(1), 3–14.</w:t>
      </w:r>
    </w:p>
    <w:p w14:paraId="69B328FB" w14:textId="77777777" w:rsidR="00C208F3" w:rsidRPr="00090B7E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</w:rPr>
      </w:pPr>
      <w:r w:rsidRPr="00C208F3">
        <w:rPr>
          <w:rFonts w:ascii="Calibri" w:hAnsi="Calibri" w:cs="Calibri"/>
          <w:noProof/>
          <w:sz w:val="20"/>
          <w:szCs w:val="20"/>
          <w:lang w:val="pt-PT"/>
        </w:rPr>
        <w:t xml:space="preserve">Gago, J., Douthe, C., Coopman, R. E., Gallego, P. P., Ribas-Carbo, M., Flexas, J., Escalona, J., &amp; Medrano, H. (2015). </w:t>
      </w:r>
      <w:r w:rsidRPr="00090B7E">
        <w:rPr>
          <w:rFonts w:ascii="Calibri" w:hAnsi="Calibri" w:cs="Calibri"/>
          <w:noProof/>
          <w:sz w:val="20"/>
          <w:szCs w:val="20"/>
        </w:rPr>
        <w:t xml:space="preserve">UAVs challenge to assess water stress for sustainable agriculture.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Agricultural Water Management</w:t>
      </w:r>
      <w:r w:rsidRPr="00090B7E">
        <w:rPr>
          <w:rFonts w:ascii="Calibri" w:hAnsi="Calibri" w:cs="Calibri"/>
          <w:noProof/>
          <w:sz w:val="20"/>
          <w:szCs w:val="20"/>
        </w:rPr>
        <w:t xml:space="preserve">,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153</w:t>
      </w:r>
      <w:r w:rsidRPr="00090B7E">
        <w:rPr>
          <w:rFonts w:ascii="Calibri" w:hAnsi="Calibri" w:cs="Calibri"/>
          <w:noProof/>
          <w:sz w:val="20"/>
          <w:szCs w:val="20"/>
        </w:rPr>
        <w:t>, 9–19. https://doi.org/10.1016/j.agwat.2015.01.020</w:t>
      </w:r>
    </w:p>
    <w:p w14:paraId="19381BB9" w14:textId="77777777" w:rsidR="00C208F3" w:rsidRPr="00090B7E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</w:rPr>
      </w:pPr>
      <w:r w:rsidRPr="00090B7E">
        <w:rPr>
          <w:rFonts w:ascii="Calibri" w:hAnsi="Calibri" w:cs="Calibri"/>
          <w:noProof/>
          <w:sz w:val="20"/>
          <w:szCs w:val="20"/>
        </w:rPr>
        <w:t xml:space="preserve">Li, L., Mu, X., Jiang, H., Chianucci, F., Hu, R., Song, W., Qi, J., Liu, S., Zhou, J., Chen, L., Huang, H., &amp; Yan, G. (2023). Review of ground and aerial methods for vegetation cover fraction (fCover) and related quantities estimation: definitions, advances, challenges, and future perspectives. In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ISPRS Journal of Photogrammetry and Remote Sensing</w:t>
      </w:r>
      <w:r w:rsidRPr="00090B7E">
        <w:rPr>
          <w:rFonts w:ascii="Calibri" w:hAnsi="Calibri" w:cs="Calibri"/>
          <w:noProof/>
          <w:sz w:val="20"/>
          <w:szCs w:val="20"/>
        </w:rPr>
        <w:t xml:space="preserve"> (Vol. 199, pp. 133–156). Elsevier B.V. https://doi.org/10.1016/j.isprsjprs.2023.03.020</w:t>
      </w:r>
    </w:p>
    <w:p w14:paraId="188C4953" w14:textId="77777777" w:rsidR="00C208F3" w:rsidRPr="00090B7E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</w:rPr>
      </w:pPr>
      <w:r w:rsidRPr="00090B7E">
        <w:rPr>
          <w:rFonts w:ascii="Calibri" w:hAnsi="Calibri" w:cs="Calibri"/>
          <w:noProof/>
          <w:sz w:val="20"/>
          <w:szCs w:val="20"/>
        </w:rPr>
        <w:t xml:space="preserve">Meroni, M., Colombo, R., &amp; Panigada, C. (2004). Inversion of a radiative transfer model with hyperspectral observations for LAI mapping in poplar plantations.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Remote Sensing of Environment</w:t>
      </w:r>
      <w:r w:rsidRPr="00090B7E">
        <w:rPr>
          <w:rFonts w:ascii="Calibri" w:hAnsi="Calibri" w:cs="Calibri"/>
          <w:noProof/>
          <w:sz w:val="20"/>
          <w:szCs w:val="20"/>
        </w:rPr>
        <w:t xml:space="preserve">,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92</w:t>
      </w:r>
      <w:r w:rsidRPr="00090B7E">
        <w:rPr>
          <w:rFonts w:ascii="Calibri" w:hAnsi="Calibri" w:cs="Calibri"/>
          <w:noProof/>
          <w:sz w:val="20"/>
          <w:szCs w:val="20"/>
        </w:rPr>
        <w:t>(2), 195–206. https://doi.org/10.1016/j.rse.2004.06.005</w:t>
      </w:r>
    </w:p>
    <w:p w14:paraId="58E5A2B5" w14:textId="77777777" w:rsidR="00C208F3" w:rsidRPr="00C208F3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  <w:lang w:val="it-IT"/>
        </w:rPr>
      </w:pPr>
      <w:r w:rsidRPr="00090B7E">
        <w:rPr>
          <w:rFonts w:ascii="Calibri" w:hAnsi="Calibri" w:cs="Calibri"/>
          <w:noProof/>
          <w:sz w:val="20"/>
          <w:szCs w:val="20"/>
        </w:rPr>
        <w:t xml:space="preserve">Pu, Y., Xu, D., Wang, H., An, D., &amp; Xu, X. (2021). Extracting canopy closure by the CHM-based and SHP-based methods with a hemispherical FOV from UAV-LIDAR data in a poplar plantation. </w:t>
      </w:r>
      <w:r w:rsidRPr="00C208F3">
        <w:rPr>
          <w:rFonts w:ascii="Calibri" w:hAnsi="Calibri" w:cs="Calibri"/>
          <w:i/>
          <w:iCs/>
          <w:noProof/>
          <w:sz w:val="20"/>
          <w:szCs w:val="20"/>
          <w:lang w:val="it-IT"/>
        </w:rPr>
        <w:t>Remote Sensing</w:t>
      </w:r>
      <w:r w:rsidRPr="00C208F3">
        <w:rPr>
          <w:rFonts w:ascii="Calibri" w:hAnsi="Calibri" w:cs="Calibri"/>
          <w:noProof/>
          <w:sz w:val="20"/>
          <w:szCs w:val="20"/>
          <w:lang w:val="it-IT"/>
        </w:rPr>
        <w:t xml:space="preserve">, </w:t>
      </w:r>
      <w:r w:rsidRPr="00C208F3">
        <w:rPr>
          <w:rFonts w:ascii="Calibri" w:hAnsi="Calibri" w:cs="Calibri"/>
          <w:i/>
          <w:iCs/>
          <w:noProof/>
          <w:sz w:val="20"/>
          <w:szCs w:val="20"/>
          <w:lang w:val="it-IT"/>
        </w:rPr>
        <w:t>13</w:t>
      </w:r>
      <w:r w:rsidRPr="00C208F3">
        <w:rPr>
          <w:rFonts w:ascii="Calibri" w:hAnsi="Calibri" w:cs="Calibri"/>
          <w:noProof/>
          <w:sz w:val="20"/>
          <w:szCs w:val="20"/>
          <w:lang w:val="it-IT"/>
        </w:rPr>
        <w:t>(19). https://doi.org/10.3390/rs13193837</w:t>
      </w:r>
    </w:p>
    <w:p w14:paraId="7C9FE460" w14:textId="77777777" w:rsidR="00C208F3" w:rsidRPr="00090B7E" w:rsidRDefault="00C208F3" w:rsidP="00C208F3">
      <w:pPr>
        <w:widowControl w:val="0"/>
        <w:autoSpaceDE w:val="0"/>
        <w:autoSpaceDN w:val="0"/>
        <w:adjustRightInd w:val="0"/>
        <w:spacing w:line="240" w:lineRule="atLeast"/>
        <w:ind w:left="480" w:hanging="480"/>
        <w:rPr>
          <w:rFonts w:ascii="Calibri" w:hAnsi="Calibri" w:cs="Calibri"/>
          <w:noProof/>
          <w:sz w:val="20"/>
          <w:szCs w:val="20"/>
        </w:rPr>
      </w:pPr>
      <w:r w:rsidRPr="00C208F3">
        <w:rPr>
          <w:rFonts w:ascii="Calibri" w:hAnsi="Calibri" w:cs="Calibri"/>
          <w:noProof/>
          <w:sz w:val="20"/>
          <w:szCs w:val="20"/>
          <w:lang w:val="it-IT"/>
        </w:rPr>
        <w:t xml:space="preserve">Puletti, N., Grotti, M., &amp; Scotti, R. (2019). </w:t>
      </w:r>
      <w:r w:rsidRPr="00090B7E">
        <w:rPr>
          <w:rFonts w:ascii="Calibri" w:hAnsi="Calibri" w:cs="Calibri"/>
          <w:noProof/>
          <w:sz w:val="20"/>
          <w:szCs w:val="20"/>
        </w:rPr>
        <w:t xml:space="preserve">Evaluating the eccentricities of poplar stem profiles with terrestrial laser scanning.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Forests</w:t>
      </w:r>
      <w:r w:rsidRPr="00090B7E">
        <w:rPr>
          <w:rFonts w:ascii="Calibri" w:hAnsi="Calibri" w:cs="Calibri"/>
          <w:noProof/>
          <w:sz w:val="20"/>
          <w:szCs w:val="20"/>
        </w:rPr>
        <w:t xml:space="preserve">, </w:t>
      </w:r>
      <w:r w:rsidRPr="00090B7E">
        <w:rPr>
          <w:rFonts w:ascii="Calibri" w:hAnsi="Calibri" w:cs="Calibri"/>
          <w:i/>
          <w:iCs/>
          <w:noProof/>
          <w:sz w:val="20"/>
          <w:szCs w:val="20"/>
        </w:rPr>
        <w:t>10</w:t>
      </w:r>
      <w:r w:rsidRPr="00090B7E">
        <w:rPr>
          <w:rFonts w:ascii="Calibri" w:hAnsi="Calibri" w:cs="Calibri"/>
          <w:noProof/>
          <w:sz w:val="20"/>
          <w:szCs w:val="20"/>
        </w:rPr>
        <w:t>(3), 1–9. https://doi.org/10.3390/f10030239</w:t>
      </w:r>
    </w:p>
    <w:p w14:paraId="0B79780B" w14:textId="028D8EE1" w:rsidR="00C208F3" w:rsidRPr="00C208F3" w:rsidRDefault="00C208F3" w:rsidP="001564A4">
      <w:pPr>
        <w:rPr>
          <w:rFonts w:ascii="Calibri" w:hAnsi="Calibri" w:cs="Calibri"/>
          <w:sz w:val="20"/>
          <w:szCs w:val="20"/>
          <w:lang w:val="en-US"/>
        </w:rPr>
      </w:pPr>
      <w:r w:rsidRPr="00090B7E">
        <w:rPr>
          <w:rFonts w:ascii="Calibri" w:hAnsi="Calibri" w:cs="Calibri"/>
          <w:sz w:val="20"/>
          <w:szCs w:val="20"/>
        </w:rPr>
        <w:fldChar w:fldCharType="end"/>
      </w:r>
    </w:p>
    <w:sectPr w:rsidR="00C208F3" w:rsidRPr="00C20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51574E"/>
    <w:rsid w:val="008803FA"/>
    <w:rsid w:val="00B12E32"/>
    <w:rsid w:val="00C208F3"/>
    <w:rsid w:val="00CF7FFC"/>
    <w:rsid w:val="00DF1E6F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9c8a2b7b-0bee-4c48-b0a6-23db8982d3bc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6911e96c-4cc4-42d5-8e43-f93924cf6a05"/>
    <ds:schemaRef ds:uri="http://schemas.microsoft.com/office/2006/documentManagement/types"/>
    <ds:schemaRef ds:uri="http://schemas.openxmlformats.org/package/2006/metadata/core-properties"/>
    <ds:schemaRef ds:uri="cab52c9b-ab33-4221-8af9-54f8f2b86a8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Tanya Yandall</cp:lastModifiedBy>
  <cp:revision>2</cp:revision>
  <dcterms:created xsi:type="dcterms:W3CDTF">2024-04-08T23:06:00Z</dcterms:created>
  <dcterms:modified xsi:type="dcterms:W3CDTF">2024-04-08T23:06:00Z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