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5E10AC" w14:paraId="3CA33060" w14:textId="77777777" w:rsidTr="1B2DA3A6">
        <w:tc>
          <w:tcPr>
            <w:tcW w:w="8640" w:type="dxa"/>
            <w:shd w:val="clear" w:color="auto" w:fill="F2F2F2" w:themeFill="background1" w:themeFillShade="F2"/>
          </w:tcPr>
          <w:p w14:paraId="359BC1A3" w14:textId="77777777" w:rsidR="005E10AC" w:rsidRPr="005E10AC" w:rsidRDefault="005E10AC" w:rsidP="1B2DA3A6">
            <w:pPr>
              <w:jc w:val="both"/>
              <w:rPr>
                <w:rFonts w:ascii="Arial" w:hAnsi="Arial" w:cs="Arial"/>
                <w:i/>
                <w:iCs/>
                <w:sz w:val="22"/>
                <w:szCs w:val="22"/>
              </w:rPr>
            </w:pPr>
            <w:r w:rsidRPr="005E10AC">
              <w:rPr>
                <w:rFonts w:ascii="Arial" w:hAnsi="Arial" w:cs="Arial"/>
                <w:i/>
                <w:iCs/>
                <w:sz w:val="22"/>
                <w:szCs w:val="22"/>
              </w:rPr>
              <w:t>Paper</w:t>
            </w:r>
          </w:p>
          <w:p w14:paraId="5056A0F1" w14:textId="7D3A0341" w:rsidR="0F419714" w:rsidRPr="005E10AC" w:rsidRDefault="0F419714" w:rsidP="1B2DA3A6">
            <w:pPr>
              <w:jc w:val="both"/>
              <w:rPr>
                <w:rFonts w:ascii="Arial" w:hAnsi="Arial" w:cs="Arial"/>
                <w:b/>
                <w:bCs/>
                <w:sz w:val="22"/>
                <w:szCs w:val="22"/>
              </w:rPr>
            </w:pPr>
            <w:r w:rsidRPr="005E10AC">
              <w:rPr>
                <w:rFonts w:ascii="Arial" w:hAnsi="Arial" w:cs="Arial"/>
                <w:b/>
                <w:bCs/>
                <w:sz w:val="22"/>
                <w:szCs w:val="22"/>
              </w:rPr>
              <w:t xml:space="preserve">A case for thinking </w:t>
            </w:r>
            <w:proofErr w:type="spellStart"/>
            <w:r w:rsidRPr="005E10AC">
              <w:rPr>
                <w:rFonts w:ascii="Arial" w:hAnsi="Arial" w:cs="Arial"/>
                <w:b/>
                <w:bCs/>
                <w:sz w:val="22"/>
                <w:szCs w:val="22"/>
              </w:rPr>
              <w:t>conjuncturally</w:t>
            </w:r>
            <w:proofErr w:type="spellEnd"/>
            <w:r w:rsidRPr="005E10AC">
              <w:rPr>
                <w:rFonts w:ascii="Arial" w:hAnsi="Arial" w:cs="Arial"/>
                <w:b/>
                <w:bCs/>
                <w:sz w:val="22"/>
                <w:szCs w:val="22"/>
              </w:rPr>
              <w:t xml:space="preserve"> about Climate Change Adaptation Policies: </w:t>
            </w:r>
            <w:proofErr w:type="gramStart"/>
            <w:r w:rsidRPr="005E10AC">
              <w:rPr>
                <w:rFonts w:ascii="Arial" w:hAnsi="Arial" w:cs="Arial"/>
                <w:b/>
                <w:bCs/>
                <w:sz w:val="22"/>
                <w:szCs w:val="22"/>
              </w:rPr>
              <w:t>an</w:t>
            </w:r>
            <w:proofErr w:type="gramEnd"/>
            <w:r w:rsidRPr="005E10AC">
              <w:rPr>
                <w:rFonts w:ascii="Arial" w:hAnsi="Arial" w:cs="Arial"/>
                <w:b/>
                <w:bCs/>
                <w:sz w:val="22"/>
                <w:szCs w:val="22"/>
              </w:rPr>
              <w:t xml:space="preserve"> Australian Case</w:t>
            </w:r>
          </w:p>
          <w:p w14:paraId="3F7D1534" w14:textId="77777777" w:rsidR="00C8423A" w:rsidRPr="005E10AC" w:rsidRDefault="00C8423A" w:rsidP="0065012F">
            <w:pPr>
              <w:tabs>
                <w:tab w:val="left" w:pos="3386"/>
              </w:tabs>
              <w:jc w:val="both"/>
              <w:rPr>
                <w:rFonts w:ascii="Arial" w:hAnsi="Arial" w:cs="Arial"/>
                <w:b/>
                <w:bCs/>
                <w:sz w:val="22"/>
                <w:szCs w:val="22"/>
              </w:rPr>
            </w:pPr>
          </w:p>
        </w:tc>
      </w:tr>
      <w:tr w:rsidR="00C8423A" w:rsidRPr="0003525D" w14:paraId="1A1C8C63" w14:textId="77777777" w:rsidTr="1B2DA3A6">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588372E" w14:textId="201C3C33" w:rsidR="58584EAF" w:rsidRDefault="58584EAF" w:rsidP="1B2DA3A6">
            <w:pPr>
              <w:jc w:val="both"/>
              <w:rPr>
                <w:rFonts w:ascii="Aptos Narrow" w:eastAsia="Aptos Narrow" w:hAnsi="Aptos Narrow" w:cs="Aptos Narrow"/>
                <w:sz w:val="22"/>
                <w:szCs w:val="22"/>
              </w:rPr>
            </w:pPr>
            <w:r w:rsidRPr="1B2DA3A6">
              <w:rPr>
                <w:rFonts w:ascii="Aptos Narrow" w:eastAsia="Aptos Narrow" w:hAnsi="Aptos Narrow" w:cs="Aptos Narrow"/>
                <w:sz w:val="22"/>
                <w:szCs w:val="22"/>
              </w:rPr>
              <w:t>Over the course of the 20</w:t>
            </w:r>
            <w:r w:rsidRPr="1B2DA3A6">
              <w:rPr>
                <w:rFonts w:ascii="Aptos Narrow" w:eastAsia="Aptos Narrow" w:hAnsi="Aptos Narrow" w:cs="Aptos Narrow"/>
                <w:sz w:val="22"/>
                <w:szCs w:val="22"/>
                <w:vertAlign w:val="superscript"/>
              </w:rPr>
              <w:t>th</w:t>
            </w:r>
            <w:r w:rsidRPr="1B2DA3A6">
              <w:rPr>
                <w:rFonts w:ascii="Aptos Narrow" w:eastAsia="Aptos Narrow" w:hAnsi="Aptos Narrow" w:cs="Aptos Narrow"/>
                <w:sz w:val="22"/>
                <w:szCs w:val="22"/>
              </w:rPr>
              <w:t xml:space="preserve"> century, the concept of transformative adaptation has mainstreamed the notion that climate change adaptation can </w:t>
            </w:r>
            <w:r w:rsidR="2FCE7DAA" w:rsidRPr="1B2DA3A6">
              <w:rPr>
                <w:rFonts w:ascii="Aptos Narrow" w:eastAsia="Aptos Narrow" w:hAnsi="Aptos Narrow" w:cs="Aptos Narrow"/>
                <w:sz w:val="22"/>
                <w:szCs w:val="22"/>
              </w:rPr>
              <w:t>drive proactive</w:t>
            </w:r>
            <w:r w:rsidRPr="1B2DA3A6">
              <w:rPr>
                <w:rFonts w:ascii="Aptos Narrow" w:eastAsia="Aptos Narrow" w:hAnsi="Aptos Narrow" w:cs="Aptos Narrow"/>
                <w:sz w:val="22"/>
                <w:szCs w:val="22"/>
              </w:rPr>
              <w:t xml:space="preserve">, innovative actions </w:t>
            </w:r>
            <w:r w:rsidR="3A025DEC" w:rsidRPr="1B2DA3A6">
              <w:rPr>
                <w:rFonts w:ascii="Aptos Narrow" w:eastAsia="Aptos Narrow" w:hAnsi="Aptos Narrow" w:cs="Aptos Narrow"/>
                <w:sz w:val="22"/>
                <w:szCs w:val="22"/>
              </w:rPr>
              <w:t xml:space="preserve">that advances </w:t>
            </w:r>
            <w:r w:rsidR="64EEF74F" w:rsidRPr="1B2DA3A6">
              <w:rPr>
                <w:rFonts w:ascii="Aptos Narrow" w:eastAsia="Aptos Narrow" w:hAnsi="Aptos Narrow" w:cs="Aptos Narrow"/>
                <w:sz w:val="22"/>
                <w:szCs w:val="22"/>
              </w:rPr>
              <w:t xml:space="preserve">climate justice and sustainability principles (Feola, 2015). </w:t>
            </w:r>
            <w:r w:rsidR="46935B62" w:rsidRPr="1B2DA3A6">
              <w:rPr>
                <w:rFonts w:ascii="Aptos Narrow" w:eastAsia="Aptos Narrow" w:hAnsi="Aptos Narrow" w:cs="Aptos Narrow"/>
                <w:sz w:val="22"/>
                <w:szCs w:val="22"/>
              </w:rPr>
              <w:t xml:space="preserve">However, Australia's climate change adaptation policies and planning are rooted in complex historical layers. This makes any attempt to understand transformative potential need to </w:t>
            </w:r>
            <w:proofErr w:type="gramStart"/>
            <w:r w:rsidR="46935B62" w:rsidRPr="1B2DA3A6">
              <w:rPr>
                <w:rFonts w:ascii="Aptos Narrow" w:eastAsia="Aptos Narrow" w:hAnsi="Aptos Narrow" w:cs="Aptos Narrow"/>
                <w:sz w:val="22"/>
                <w:szCs w:val="22"/>
              </w:rPr>
              <w:t>take into account</w:t>
            </w:r>
            <w:proofErr w:type="gramEnd"/>
            <w:r w:rsidR="46935B62" w:rsidRPr="1B2DA3A6">
              <w:rPr>
                <w:rFonts w:ascii="Aptos Narrow" w:eastAsia="Aptos Narrow" w:hAnsi="Aptos Narrow" w:cs="Aptos Narrow"/>
                <w:sz w:val="22"/>
                <w:szCs w:val="22"/>
              </w:rPr>
              <w:t xml:space="preserve"> how current policies build upon previous frameworks to render "climate change adaptation" governable</w:t>
            </w:r>
            <w:r w:rsidR="1CEEC00A" w:rsidRPr="1B2DA3A6">
              <w:rPr>
                <w:rFonts w:ascii="Aptos Narrow" w:eastAsia="Aptos Narrow" w:hAnsi="Aptos Narrow" w:cs="Aptos Narrow"/>
                <w:sz w:val="22"/>
                <w:szCs w:val="22"/>
              </w:rPr>
              <w:t xml:space="preserve">. </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749BF9B" w14:textId="6B1FC460" w:rsidR="2A890E04" w:rsidRDefault="2A890E04" w:rsidP="1B2DA3A6">
            <w:pPr>
              <w:jc w:val="both"/>
              <w:rPr>
                <w:rFonts w:ascii="Aptos Narrow" w:eastAsia="Aptos Narrow" w:hAnsi="Aptos Narrow" w:cs="Aptos Narrow"/>
                <w:sz w:val="22"/>
                <w:szCs w:val="22"/>
              </w:rPr>
            </w:pPr>
            <w:r w:rsidRPr="1B2DA3A6">
              <w:rPr>
                <w:rFonts w:ascii="Aptos Narrow" w:eastAsia="Aptos Narrow" w:hAnsi="Aptos Narrow" w:cs="Aptos Narrow"/>
                <w:sz w:val="22"/>
                <w:szCs w:val="22"/>
              </w:rPr>
              <w:t>This research</w:t>
            </w:r>
            <w:r w:rsidR="5FF90FBF" w:rsidRPr="1B2DA3A6">
              <w:rPr>
                <w:rFonts w:ascii="Aptos Narrow" w:eastAsia="Aptos Narrow" w:hAnsi="Aptos Narrow" w:cs="Aptos Narrow"/>
                <w:sz w:val="22"/>
                <w:szCs w:val="22"/>
              </w:rPr>
              <w:t xml:space="preserve"> </w:t>
            </w:r>
            <w:r w:rsidR="748BC8D6" w:rsidRPr="1B2DA3A6">
              <w:rPr>
                <w:rFonts w:ascii="Aptos Narrow" w:eastAsia="Aptos Narrow" w:hAnsi="Aptos Narrow" w:cs="Aptos Narrow"/>
                <w:sz w:val="22"/>
                <w:szCs w:val="22"/>
              </w:rPr>
              <w:t>applied</w:t>
            </w:r>
            <w:r w:rsidRPr="1B2DA3A6">
              <w:rPr>
                <w:rFonts w:ascii="Aptos Narrow" w:eastAsia="Aptos Narrow" w:hAnsi="Aptos Narrow" w:cs="Aptos Narrow"/>
                <w:sz w:val="22"/>
                <w:szCs w:val="22"/>
              </w:rPr>
              <w:t xml:space="preserve"> a novel methodical framework to the study of climate change adaptation policy development </w:t>
            </w:r>
            <w:proofErr w:type="gramStart"/>
            <w:r w:rsidRPr="1B2DA3A6">
              <w:rPr>
                <w:rFonts w:ascii="Aptos Narrow" w:eastAsia="Aptos Narrow" w:hAnsi="Aptos Narrow" w:cs="Aptos Narrow"/>
                <w:sz w:val="22"/>
                <w:szCs w:val="22"/>
              </w:rPr>
              <w:t>in order to</w:t>
            </w:r>
            <w:proofErr w:type="gramEnd"/>
            <w:r w:rsidRPr="1B2DA3A6">
              <w:rPr>
                <w:rFonts w:ascii="Aptos Narrow" w:eastAsia="Aptos Narrow" w:hAnsi="Aptos Narrow" w:cs="Aptos Narrow"/>
                <w:sz w:val="22"/>
                <w:szCs w:val="22"/>
              </w:rPr>
              <w:t xml:space="preserve"> </w:t>
            </w:r>
            <w:r w:rsidR="4A1412FB" w:rsidRPr="1B2DA3A6">
              <w:rPr>
                <w:rFonts w:ascii="Aptos Narrow" w:eastAsia="Aptos Narrow" w:hAnsi="Aptos Narrow" w:cs="Aptos Narrow"/>
                <w:sz w:val="22"/>
                <w:szCs w:val="22"/>
              </w:rPr>
              <w:t>gauge</w:t>
            </w:r>
            <w:r w:rsidRPr="1B2DA3A6">
              <w:rPr>
                <w:rFonts w:ascii="Aptos Narrow" w:eastAsia="Aptos Narrow" w:hAnsi="Aptos Narrow" w:cs="Aptos Narrow"/>
                <w:sz w:val="22"/>
                <w:szCs w:val="22"/>
              </w:rPr>
              <w:t xml:space="preserve"> the</w:t>
            </w:r>
            <w:r w:rsidR="3FC09FAD" w:rsidRPr="1B2DA3A6">
              <w:rPr>
                <w:rFonts w:ascii="Aptos Narrow" w:eastAsia="Aptos Narrow" w:hAnsi="Aptos Narrow" w:cs="Aptos Narrow"/>
                <w:sz w:val="22"/>
                <w:szCs w:val="22"/>
              </w:rPr>
              <w:t xml:space="preserve"> </w:t>
            </w:r>
            <w:r w:rsidR="1B58005E" w:rsidRPr="1B2DA3A6">
              <w:rPr>
                <w:rFonts w:ascii="Aptos Narrow" w:eastAsia="Aptos Narrow" w:hAnsi="Aptos Narrow" w:cs="Aptos Narrow"/>
                <w:sz w:val="22"/>
                <w:szCs w:val="22"/>
              </w:rPr>
              <w:t xml:space="preserve">current policy landscape and explore how </w:t>
            </w:r>
            <w:r w:rsidR="5182440D" w:rsidRPr="1B2DA3A6">
              <w:rPr>
                <w:rFonts w:ascii="Aptos Narrow" w:eastAsia="Aptos Narrow" w:hAnsi="Aptos Narrow" w:cs="Aptos Narrow"/>
                <w:sz w:val="22"/>
                <w:szCs w:val="22"/>
              </w:rPr>
              <w:t>societal</w:t>
            </w:r>
            <w:r w:rsidR="1B58005E" w:rsidRPr="1B2DA3A6">
              <w:rPr>
                <w:rFonts w:ascii="Aptos Narrow" w:eastAsia="Aptos Narrow" w:hAnsi="Aptos Narrow" w:cs="Aptos Narrow"/>
                <w:sz w:val="22"/>
                <w:szCs w:val="22"/>
              </w:rPr>
              <w:t xml:space="preserve"> conditions, </w:t>
            </w:r>
            <w:r w:rsidR="052425B5" w:rsidRPr="1B2DA3A6">
              <w:rPr>
                <w:rFonts w:ascii="Aptos Narrow" w:eastAsia="Aptos Narrow" w:hAnsi="Aptos Narrow" w:cs="Aptos Narrow"/>
                <w:sz w:val="22"/>
                <w:szCs w:val="22"/>
              </w:rPr>
              <w:t>institutional</w:t>
            </w:r>
            <w:r w:rsidR="1B58005E" w:rsidRPr="1B2DA3A6">
              <w:rPr>
                <w:rFonts w:ascii="Aptos Narrow" w:eastAsia="Aptos Narrow" w:hAnsi="Aptos Narrow" w:cs="Aptos Narrow"/>
                <w:sz w:val="22"/>
                <w:szCs w:val="22"/>
              </w:rPr>
              <w:t xml:space="preserve"> dynamics and government policies can contribute to </w:t>
            </w:r>
            <w:r w:rsidR="68012ED8" w:rsidRPr="1B2DA3A6">
              <w:rPr>
                <w:rFonts w:ascii="Aptos Narrow" w:eastAsia="Aptos Narrow" w:hAnsi="Aptos Narrow" w:cs="Aptos Narrow"/>
                <w:sz w:val="22"/>
                <w:szCs w:val="22"/>
              </w:rPr>
              <w:t>facilitate</w:t>
            </w:r>
            <w:r w:rsidR="1B58005E" w:rsidRPr="1B2DA3A6">
              <w:rPr>
                <w:rFonts w:ascii="Aptos Narrow" w:eastAsia="Aptos Narrow" w:hAnsi="Aptos Narrow" w:cs="Aptos Narrow"/>
                <w:sz w:val="22"/>
                <w:szCs w:val="22"/>
              </w:rPr>
              <w:t xml:space="preserve"> </w:t>
            </w:r>
            <w:r w:rsidR="6F070F17" w:rsidRPr="1B2DA3A6">
              <w:rPr>
                <w:rFonts w:ascii="Aptos Narrow" w:eastAsia="Aptos Narrow" w:hAnsi="Aptos Narrow" w:cs="Aptos Narrow"/>
                <w:sz w:val="22"/>
                <w:szCs w:val="22"/>
              </w:rPr>
              <w:t xml:space="preserve">transformative (and non-transformative) forms </w:t>
            </w:r>
            <w:r w:rsidR="7A9E5356" w:rsidRPr="1B2DA3A6">
              <w:rPr>
                <w:rFonts w:ascii="Aptos Narrow" w:eastAsia="Aptos Narrow" w:hAnsi="Aptos Narrow" w:cs="Aptos Narrow"/>
                <w:sz w:val="22"/>
                <w:szCs w:val="22"/>
              </w:rPr>
              <w:t xml:space="preserve">of climate change adaptation. </w:t>
            </w:r>
          </w:p>
          <w:p w14:paraId="457D2D05" w14:textId="4552866C" w:rsidR="0065012F" w:rsidRDefault="00906B39" w:rsidP="00706DED">
            <w:pPr>
              <w:jc w:val="both"/>
              <w:rPr>
                <w:rFonts w:ascii="Arial" w:hAnsi="Arial" w:cs="Arial"/>
                <w:b/>
                <w:sz w:val="22"/>
                <w:szCs w:val="22"/>
              </w:rPr>
            </w:pPr>
            <w:r w:rsidRPr="1B2DA3A6">
              <w:rPr>
                <w:rFonts w:ascii="Arial" w:hAnsi="Arial" w:cs="Arial"/>
                <w:b/>
                <w:bCs/>
                <w:sz w:val="22"/>
                <w:szCs w:val="22"/>
              </w:rPr>
              <w:t>Methodology</w:t>
            </w:r>
          </w:p>
          <w:p w14:paraId="015EFC6C" w14:textId="7DFB3BE9" w:rsidR="0065012F" w:rsidRDefault="3F28453A" w:rsidP="1B2DA3A6">
            <w:pPr>
              <w:jc w:val="both"/>
              <w:rPr>
                <w:rFonts w:ascii="Aptos Narrow" w:eastAsia="Aptos Narrow" w:hAnsi="Aptos Narrow" w:cs="Aptos Narrow"/>
                <w:color w:val="000000" w:themeColor="text1"/>
                <w:sz w:val="22"/>
                <w:szCs w:val="22"/>
                <w:lang w:val="en-CA"/>
              </w:rPr>
            </w:pPr>
            <w:r w:rsidRPr="1B2DA3A6">
              <w:rPr>
                <w:rFonts w:ascii="Aptos Narrow" w:eastAsia="Aptos Narrow" w:hAnsi="Aptos Narrow" w:cs="Aptos Narrow"/>
                <w:color w:val="000000" w:themeColor="text1"/>
                <w:sz w:val="22"/>
                <w:szCs w:val="22"/>
                <w:lang w:val="en-CA"/>
              </w:rPr>
              <w:t>A focus on conjunctures provides a powerful tool for examining the political, economic, cultural, and ideological influences shaping these responses. This innovative approach, termed "conjunctural thinking," uses concepts of articulation, contradiction, and crisis to analyze the dynamic interactions that shape policy and planning environments.</w:t>
            </w:r>
          </w:p>
          <w:p w14:paraId="62DAA8AE" w14:textId="77777777" w:rsidR="0065012F" w:rsidRDefault="0065012F" w:rsidP="00706DED">
            <w:pPr>
              <w:jc w:val="both"/>
              <w:rPr>
                <w:rFonts w:ascii="Arial" w:hAnsi="Arial" w:cs="Arial"/>
                <w:b/>
                <w:sz w:val="22"/>
                <w:szCs w:val="22"/>
              </w:rPr>
            </w:pPr>
            <w:r w:rsidRPr="1B2DA3A6">
              <w:rPr>
                <w:rFonts w:ascii="Arial" w:hAnsi="Arial" w:cs="Arial"/>
                <w:b/>
                <w:bCs/>
                <w:sz w:val="22"/>
                <w:szCs w:val="22"/>
              </w:rPr>
              <w:t>Findings</w:t>
            </w:r>
          </w:p>
          <w:p w14:paraId="25A559C6" w14:textId="3F28F6EF" w:rsidR="0BB28CEF" w:rsidRDefault="0BB28CEF" w:rsidP="1B2DA3A6">
            <w:pPr>
              <w:rPr>
                <w:rFonts w:ascii="Aptos Narrow" w:eastAsia="Aptos Narrow" w:hAnsi="Aptos Narrow" w:cs="Aptos Narrow"/>
                <w:sz w:val="22"/>
                <w:szCs w:val="22"/>
              </w:rPr>
            </w:pPr>
            <w:r w:rsidRPr="1B2DA3A6">
              <w:rPr>
                <w:rFonts w:ascii="Aptos Narrow" w:eastAsia="Aptos Narrow" w:hAnsi="Aptos Narrow" w:cs="Aptos Narrow"/>
                <w:sz w:val="22"/>
                <w:szCs w:val="22"/>
              </w:rPr>
              <w:t xml:space="preserve">Applied to two cases of Australian climate change adaptation policy, this conjunctural approach illustrates the impact of conjunctural moments on the formulation and </w:t>
            </w:r>
            <w:r w:rsidR="4420CAE2" w:rsidRPr="1B2DA3A6">
              <w:rPr>
                <w:rFonts w:ascii="Aptos Narrow" w:eastAsia="Aptos Narrow" w:hAnsi="Aptos Narrow" w:cs="Aptos Narrow"/>
                <w:sz w:val="22"/>
                <w:szCs w:val="22"/>
              </w:rPr>
              <w:t xml:space="preserve">capability of these policies to achieve their objectives. </w:t>
            </w:r>
            <w:r w:rsidR="1377DB97" w:rsidRPr="1B2DA3A6">
              <w:rPr>
                <w:rFonts w:ascii="Aptos Narrow" w:eastAsia="Aptos Narrow" w:hAnsi="Aptos Narrow" w:cs="Aptos Narrow"/>
                <w:sz w:val="22"/>
                <w:szCs w:val="22"/>
              </w:rPr>
              <w:t xml:space="preserve">Specifically, the share analysis of the cases </w:t>
            </w:r>
            <w:proofErr w:type="gramStart"/>
            <w:r w:rsidR="1377DB97" w:rsidRPr="1B2DA3A6">
              <w:rPr>
                <w:rFonts w:ascii="Aptos Narrow" w:eastAsia="Aptos Narrow" w:hAnsi="Aptos Narrow" w:cs="Aptos Narrow"/>
                <w:sz w:val="22"/>
                <w:szCs w:val="22"/>
              </w:rPr>
              <w:t>identify</w:t>
            </w:r>
            <w:proofErr w:type="gramEnd"/>
            <w:r w:rsidR="1377DB97" w:rsidRPr="1B2DA3A6">
              <w:rPr>
                <w:rFonts w:ascii="Aptos Narrow" w:eastAsia="Aptos Narrow" w:hAnsi="Aptos Narrow" w:cs="Aptos Narrow"/>
                <w:sz w:val="22"/>
                <w:szCs w:val="22"/>
              </w:rPr>
              <w:t xml:space="preserve"> three ‘critical mom</w:t>
            </w:r>
            <w:r w:rsidR="09FD546E" w:rsidRPr="1B2DA3A6">
              <w:rPr>
                <w:rFonts w:ascii="Aptos Narrow" w:eastAsia="Aptos Narrow" w:hAnsi="Aptos Narrow" w:cs="Aptos Narrow"/>
                <w:sz w:val="22"/>
                <w:szCs w:val="22"/>
              </w:rPr>
              <w:t xml:space="preserve">ents’ for climate change adaptation policies in Australia. First, the convergence of crises </w:t>
            </w:r>
            <w:r w:rsidR="219DE4FB" w:rsidRPr="1B2DA3A6">
              <w:rPr>
                <w:rFonts w:ascii="Aptos Narrow" w:eastAsia="Aptos Narrow" w:hAnsi="Aptos Narrow" w:cs="Aptos Narrow"/>
                <w:sz w:val="22"/>
                <w:szCs w:val="22"/>
              </w:rPr>
              <w:t xml:space="preserve">and an imperceptiveness to crises’ temporality </w:t>
            </w:r>
            <w:r w:rsidR="7322698F" w:rsidRPr="1B2DA3A6">
              <w:rPr>
                <w:rFonts w:ascii="Aptos Narrow" w:eastAsia="Aptos Narrow" w:hAnsi="Aptos Narrow" w:cs="Aptos Narrow"/>
                <w:sz w:val="22"/>
                <w:szCs w:val="22"/>
              </w:rPr>
              <w:t xml:space="preserve">disrupt </w:t>
            </w:r>
            <w:r w:rsidR="09FD546E" w:rsidRPr="1B2DA3A6">
              <w:rPr>
                <w:rFonts w:ascii="Aptos Narrow" w:eastAsia="Aptos Narrow" w:hAnsi="Aptos Narrow" w:cs="Aptos Narrow"/>
                <w:sz w:val="22"/>
                <w:szCs w:val="22"/>
              </w:rPr>
              <w:t xml:space="preserve">the ability for </w:t>
            </w:r>
            <w:r w:rsidR="2BB6A808" w:rsidRPr="1B2DA3A6">
              <w:rPr>
                <w:rFonts w:ascii="Aptos Narrow" w:eastAsia="Aptos Narrow" w:hAnsi="Aptos Narrow" w:cs="Aptos Narrow"/>
                <w:sz w:val="22"/>
                <w:szCs w:val="22"/>
              </w:rPr>
              <w:t>institutions</w:t>
            </w:r>
            <w:r w:rsidR="5C303FE8" w:rsidRPr="1B2DA3A6">
              <w:rPr>
                <w:rFonts w:ascii="Aptos Narrow" w:eastAsia="Aptos Narrow" w:hAnsi="Aptos Narrow" w:cs="Aptos Narrow"/>
                <w:sz w:val="22"/>
                <w:szCs w:val="22"/>
              </w:rPr>
              <w:t xml:space="preserve"> and community </w:t>
            </w:r>
            <w:r w:rsidR="336A6F84" w:rsidRPr="1B2DA3A6">
              <w:rPr>
                <w:rFonts w:ascii="Aptos Narrow" w:eastAsia="Aptos Narrow" w:hAnsi="Aptos Narrow" w:cs="Aptos Narrow"/>
                <w:sz w:val="22"/>
                <w:szCs w:val="22"/>
              </w:rPr>
              <w:t xml:space="preserve">to respond to climate change impacts. Second, </w:t>
            </w:r>
            <w:r w:rsidR="16EABEF8" w:rsidRPr="1B2DA3A6">
              <w:rPr>
                <w:rFonts w:ascii="Aptos Narrow" w:eastAsia="Aptos Narrow" w:hAnsi="Aptos Narrow" w:cs="Aptos Narrow"/>
                <w:sz w:val="22"/>
                <w:szCs w:val="22"/>
              </w:rPr>
              <w:t xml:space="preserve">institutional thinness and inertia contribute to a reduced capacity for systemic and novel changes needed to facilitate transformative adaptation. </w:t>
            </w:r>
            <w:r w:rsidR="7816AB77" w:rsidRPr="1B2DA3A6">
              <w:rPr>
                <w:rFonts w:ascii="Aptos Narrow" w:eastAsia="Aptos Narrow" w:hAnsi="Aptos Narrow" w:cs="Aptos Narrow"/>
                <w:sz w:val="22"/>
                <w:szCs w:val="22"/>
              </w:rPr>
              <w:t>Thi</w:t>
            </w:r>
            <w:r w:rsidR="7A2C513E" w:rsidRPr="1B2DA3A6">
              <w:rPr>
                <w:rFonts w:ascii="Aptos Narrow" w:eastAsia="Aptos Narrow" w:hAnsi="Aptos Narrow" w:cs="Aptos Narrow"/>
                <w:sz w:val="22"/>
                <w:szCs w:val="22"/>
              </w:rPr>
              <w:t>rd,</w:t>
            </w:r>
            <w:r w:rsidR="7816AB77" w:rsidRPr="1B2DA3A6">
              <w:rPr>
                <w:rFonts w:ascii="Aptos Narrow" w:eastAsia="Aptos Narrow" w:hAnsi="Aptos Narrow" w:cs="Aptos Narrow"/>
                <w:sz w:val="22"/>
                <w:szCs w:val="22"/>
              </w:rPr>
              <w:t xml:space="preserve"> </w:t>
            </w:r>
            <w:r w:rsidR="3DB8C621" w:rsidRPr="1B2DA3A6">
              <w:rPr>
                <w:rFonts w:ascii="Aptos Narrow" w:eastAsia="Aptos Narrow" w:hAnsi="Aptos Narrow" w:cs="Aptos Narrow"/>
                <w:sz w:val="22"/>
                <w:szCs w:val="22"/>
              </w:rPr>
              <w:t xml:space="preserve">a poor alignment between climate change adaptation policies and the cultural context they operate in are creating </w:t>
            </w:r>
            <w:r w:rsidR="5E54DC3D" w:rsidRPr="1B2DA3A6">
              <w:rPr>
                <w:rFonts w:ascii="Aptos Narrow" w:eastAsia="Aptos Narrow" w:hAnsi="Aptos Narrow" w:cs="Aptos Narrow"/>
                <w:sz w:val="22"/>
                <w:szCs w:val="22"/>
              </w:rPr>
              <w:t>cultural inertia</w:t>
            </w:r>
            <w:r w:rsidR="089A2112" w:rsidRPr="1B2DA3A6">
              <w:rPr>
                <w:rFonts w:ascii="Aptos Narrow" w:eastAsia="Aptos Narrow" w:hAnsi="Aptos Narrow" w:cs="Aptos Narrow"/>
                <w:sz w:val="22"/>
                <w:szCs w:val="22"/>
              </w:rPr>
              <w:t xml:space="preserve"> </w:t>
            </w:r>
            <w:r w:rsidR="506EBF92" w:rsidRPr="1B2DA3A6">
              <w:rPr>
                <w:rFonts w:ascii="Aptos Narrow" w:eastAsia="Aptos Narrow" w:hAnsi="Aptos Narrow" w:cs="Aptos Narrow"/>
                <w:sz w:val="22"/>
                <w:szCs w:val="22"/>
              </w:rPr>
              <w:t xml:space="preserve">that limits the visibility of unjust and unsustainable systems being worsened by climate impacts. </w:t>
            </w:r>
            <w:r w:rsidR="255395A6" w:rsidRPr="1B2DA3A6">
              <w:rPr>
                <w:rFonts w:ascii="Aptos Narrow" w:eastAsia="Aptos Narrow" w:hAnsi="Aptos Narrow" w:cs="Aptos Narrow"/>
                <w:sz w:val="22"/>
                <w:szCs w:val="22"/>
              </w:rPr>
              <w:t xml:space="preserve">These factors limit the uptake of transformative adaptation as they limit the ‘space for innovation and novelty’ while </w:t>
            </w:r>
            <w:r w:rsidR="772B50D6" w:rsidRPr="1B2DA3A6">
              <w:rPr>
                <w:rFonts w:ascii="Aptos Narrow" w:eastAsia="Aptos Narrow" w:hAnsi="Aptos Narrow" w:cs="Aptos Narrow"/>
                <w:sz w:val="22"/>
                <w:szCs w:val="22"/>
              </w:rPr>
              <w:t>ignoring</w:t>
            </w:r>
            <w:r w:rsidR="255395A6" w:rsidRPr="1B2DA3A6">
              <w:rPr>
                <w:rFonts w:ascii="Aptos Narrow" w:eastAsia="Aptos Narrow" w:hAnsi="Aptos Narrow" w:cs="Aptos Narrow"/>
                <w:sz w:val="22"/>
                <w:szCs w:val="22"/>
              </w:rPr>
              <w:t xml:space="preserve"> the aspects of justice and inequity that underpin</w:t>
            </w:r>
            <w:r w:rsidR="2475EDAD" w:rsidRPr="1B2DA3A6">
              <w:rPr>
                <w:rFonts w:ascii="Aptos Narrow" w:eastAsia="Aptos Narrow" w:hAnsi="Aptos Narrow" w:cs="Aptos Narrow"/>
                <w:sz w:val="22"/>
                <w:szCs w:val="22"/>
              </w:rPr>
              <w:t xml:space="preserve"> the critical conjuncture of the present climate changed moment. </w:t>
            </w:r>
          </w:p>
          <w:p w14:paraId="261EC656" w14:textId="2669F05C" w:rsidR="00C8423A" w:rsidRDefault="0065012F" w:rsidP="00706DED">
            <w:pPr>
              <w:jc w:val="both"/>
              <w:rPr>
                <w:rFonts w:ascii="Arial" w:hAnsi="Arial" w:cs="Arial"/>
                <w:b/>
                <w:sz w:val="22"/>
                <w:szCs w:val="22"/>
              </w:rPr>
            </w:pPr>
            <w:r w:rsidRPr="1B2DA3A6">
              <w:rPr>
                <w:rFonts w:ascii="Arial" w:hAnsi="Arial" w:cs="Arial"/>
                <w:b/>
                <w:bCs/>
                <w:sz w:val="22"/>
                <w:szCs w:val="22"/>
              </w:rPr>
              <w:t xml:space="preserve">Significance of the work for policy and practice </w:t>
            </w:r>
          </w:p>
          <w:p w14:paraId="7294AF0C" w14:textId="22799E9B" w:rsidR="00BE58D6" w:rsidRDefault="706FB1C3" w:rsidP="1B2DA3A6">
            <w:pPr>
              <w:jc w:val="both"/>
              <w:rPr>
                <w:rFonts w:ascii="Aptos Narrow" w:eastAsia="Aptos Narrow" w:hAnsi="Aptos Narrow" w:cs="Aptos Narrow"/>
                <w:sz w:val="22"/>
                <w:szCs w:val="22"/>
              </w:rPr>
            </w:pPr>
            <w:r w:rsidRPr="1B2DA3A6">
              <w:rPr>
                <w:rFonts w:ascii="Aptos Narrow" w:eastAsia="Aptos Narrow" w:hAnsi="Aptos Narrow" w:cs="Aptos Narrow"/>
                <w:sz w:val="22"/>
                <w:szCs w:val="22"/>
              </w:rPr>
              <w:t>This work challenges notions of crises as ‘windows of opportunity’ for transformative change within climate change adaptation</w:t>
            </w:r>
            <w:r w:rsidR="332020F7" w:rsidRPr="1B2DA3A6">
              <w:rPr>
                <w:rFonts w:ascii="Aptos Narrow" w:eastAsia="Aptos Narrow" w:hAnsi="Aptos Narrow" w:cs="Aptos Narrow"/>
                <w:sz w:val="22"/>
                <w:szCs w:val="22"/>
              </w:rPr>
              <w:t xml:space="preserve"> policies</w:t>
            </w:r>
            <w:r w:rsidRPr="1B2DA3A6">
              <w:rPr>
                <w:rFonts w:ascii="Aptos Narrow" w:eastAsia="Aptos Narrow" w:hAnsi="Aptos Narrow" w:cs="Aptos Narrow"/>
                <w:sz w:val="22"/>
                <w:szCs w:val="22"/>
              </w:rPr>
              <w:t xml:space="preserve">. The findings suggest the convergence of </w:t>
            </w:r>
            <w:r w:rsidR="7018324E" w:rsidRPr="1B2DA3A6">
              <w:rPr>
                <w:rFonts w:ascii="Aptos Narrow" w:eastAsia="Aptos Narrow" w:hAnsi="Aptos Narrow" w:cs="Aptos Narrow"/>
                <w:sz w:val="22"/>
                <w:szCs w:val="22"/>
              </w:rPr>
              <w:t xml:space="preserve">multiple concurrent </w:t>
            </w:r>
            <w:r w:rsidRPr="1B2DA3A6">
              <w:rPr>
                <w:rFonts w:ascii="Aptos Narrow" w:eastAsia="Aptos Narrow" w:hAnsi="Aptos Narrow" w:cs="Aptos Narrow"/>
                <w:sz w:val="22"/>
                <w:szCs w:val="22"/>
              </w:rPr>
              <w:t>crises</w:t>
            </w:r>
            <w:r w:rsidR="4B2D1927" w:rsidRPr="1B2DA3A6">
              <w:rPr>
                <w:rFonts w:ascii="Aptos Narrow" w:eastAsia="Aptos Narrow" w:hAnsi="Aptos Narrow" w:cs="Aptos Narrow"/>
                <w:sz w:val="22"/>
                <w:szCs w:val="22"/>
              </w:rPr>
              <w:t xml:space="preserve"> </w:t>
            </w:r>
            <w:r w:rsidR="762C8CA9" w:rsidRPr="1B2DA3A6">
              <w:rPr>
                <w:rFonts w:ascii="Aptos Narrow" w:eastAsia="Aptos Narrow" w:hAnsi="Aptos Narrow" w:cs="Aptos Narrow"/>
                <w:sz w:val="22"/>
                <w:szCs w:val="22"/>
              </w:rPr>
              <w:t>(e.g., poly-crisis) and the</w:t>
            </w:r>
            <w:r w:rsidR="11A84013" w:rsidRPr="1B2DA3A6">
              <w:rPr>
                <w:rFonts w:ascii="Aptos Narrow" w:eastAsia="Aptos Narrow" w:hAnsi="Aptos Narrow" w:cs="Aptos Narrow"/>
                <w:sz w:val="22"/>
                <w:szCs w:val="22"/>
              </w:rPr>
              <w:t xml:space="preserve"> varied</w:t>
            </w:r>
            <w:r w:rsidR="762C8CA9" w:rsidRPr="1B2DA3A6">
              <w:rPr>
                <w:rFonts w:ascii="Aptos Narrow" w:eastAsia="Aptos Narrow" w:hAnsi="Aptos Narrow" w:cs="Aptos Narrow"/>
                <w:sz w:val="22"/>
                <w:szCs w:val="22"/>
              </w:rPr>
              <w:t xml:space="preserve"> </w:t>
            </w:r>
            <w:r w:rsidR="29D7A0C8" w:rsidRPr="1B2DA3A6">
              <w:rPr>
                <w:rFonts w:ascii="Aptos Narrow" w:eastAsia="Aptos Narrow" w:hAnsi="Aptos Narrow" w:cs="Aptos Narrow"/>
                <w:sz w:val="22"/>
                <w:szCs w:val="22"/>
              </w:rPr>
              <w:t>temporality</w:t>
            </w:r>
            <w:r w:rsidR="762C8CA9" w:rsidRPr="1B2DA3A6">
              <w:rPr>
                <w:rFonts w:ascii="Aptos Narrow" w:eastAsia="Aptos Narrow" w:hAnsi="Aptos Narrow" w:cs="Aptos Narrow"/>
                <w:sz w:val="22"/>
                <w:szCs w:val="22"/>
              </w:rPr>
              <w:t xml:space="preserve"> of</w:t>
            </w:r>
            <w:r w:rsidR="33E60CCA" w:rsidRPr="1B2DA3A6">
              <w:rPr>
                <w:rFonts w:ascii="Aptos Narrow" w:eastAsia="Aptos Narrow" w:hAnsi="Aptos Narrow" w:cs="Aptos Narrow"/>
                <w:sz w:val="22"/>
                <w:szCs w:val="22"/>
              </w:rPr>
              <w:t xml:space="preserve"> said crises</w:t>
            </w:r>
            <w:r w:rsidR="2DC4F31D" w:rsidRPr="1B2DA3A6">
              <w:rPr>
                <w:rFonts w:ascii="Aptos Narrow" w:eastAsia="Aptos Narrow" w:hAnsi="Aptos Narrow" w:cs="Aptos Narrow"/>
                <w:sz w:val="22"/>
                <w:szCs w:val="22"/>
              </w:rPr>
              <w:t xml:space="preserve"> (e.g., slow burn and rapid onset crises – see </w:t>
            </w:r>
            <w:r w:rsidR="318A9816" w:rsidRPr="1B2DA3A6">
              <w:rPr>
                <w:rFonts w:ascii="Aptos Narrow" w:eastAsia="Aptos Narrow" w:hAnsi="Aptos Narrow" w:cs="Aptos Narrow"/>
                <w:sz w:val="22"/>
                <w:szCs w:val="22"/>
                <w:lang w:val="en-CA"/>
              </w:rPr>
              <w:t xml:space="preserve">Seabrooke and </w:t>
            </w:r>
            <w:proofErr w:type="spellStart"/>
            <w:r w:rsidR="318A9816" w:rsidRPr="1B2DA3A6">
              <w:rPr>
                <w:rFonts w:ascii="Aptos Narrow" w:eastAsia="Aptos Narrow" w:hAnsi="Aptos Narrow" w:cs="Aptos Narrow"/>
                <w:sz w:val="22"/>
                <w:szCs w:val="22"/>
                <w:lang w:val="en-CA"/>
              </w:rPr>
              <w:t>Tsingou</w:t>
            </w:r>
            <w:proofErr w:type="spellEnd"/>
            <w:r w:rsidR="318A9816" w:rsidRPr="1B2DA3A6">
              <w:rPr>
                <w:rFonts w:ascii="Aptos Narrow" w:eastAsia="Aptos Narrow" w:hAnsi="Aptos Narrow" w:cs="Aptos Narrow"/>
                <w:sz w:val="22"/>
                <w:szCs w:val="22"/>
                <w:lang w:val="en-CA"/>
              </w:rPr>
              <w:t xml:space="preserve"> 2019)</w:t>
            </w:r>
            <w:r w:rsidR="74EC006D" w:rsidRPr="1B2DA3A6">
              <w:rPr>
                <w:rFonts w:ascii="Aptos Narrow" w:eastAsia="Aptos Narrow" w:hAnsi="Aptos Narrow" w:cs="Aptos Narrow"/>
                <w:sz w:val="22"/>
                <w:szCs w:val="22"/>
                <w:lang w:val="en-CA"/>
              </w:rPr>
              <w:t xml:space="preserve"> undermines the capacity for institutions and communities to respond proactively and innovatively. </w:t>
            </w:r>
            <w:r w:rsidR="29A90B71" w:rsidRPr="1B2DA3A6">
              <w:rPr>
                <w:rFonts w:ascii="Aptos Narrow" w:eastAsia="Aptos Narrow" w:hAnsi="Aptos Narrow" w:cs="Aptos Narrow"/>
                <w:sz w:val="22"/>
                <w:szCs w:val="22"/>
              </w:rPr>
              <w:t xml:space="preserve">Furthermore, this research advances avenues for future work around the enabling or constraining role of </w:t>
            </w:r>
            <w:r w:rsidR="4FA6EC11" w:rsidRPr="1B2DA3A6">
              <w:rPr>
                <w:rFonts w:ascii="Aptos Narrow" w:eastAsia="Aptos Narrow" w:hAnsi="Aptos Narrow" w:cs="Aptos Narrow"/>
                <w:sz w:val="22"/>
                <w:szCs w:val="22"/>
              </w:rPr>
              <w:t xml:space="preserve">cultural factors in climate change adaptation policy development and implementation. </w:t>
            </w:r>
            <w:r w:rsidR="67340996" w:rsidRPr="1B2DA3A6">
              <w:rPr>
                <w:rFonts w:ascii="Aptos Narrow" w:eastAsia="Aptos Narrow" w:hAnsi="Aptos Narrow" w:cs="Aptos Narrow"/>
                <w:sz w:val="22"/>
                <w:szCs w:val="22"/>
              </w:rPr>
              <w:t xml:space="preserve">Building on work establishing connection between </w:t>
            </w:r>
            <w:r w:rsidR="0BEA1F14" w:rsidRPr="1B2DA3A6">
              <w:rPr>
                <w:rFonts w:ascii="Aptos Narrow" w:eastAsia="Aptos Narrow" w:hAnsi="Aptos Narrow" w:cs="Aptos Narrow"/>
                <w:sz w:val="22"/>
                <w:szCs w:val="22"/>
              </w:rPr>
              <w:t xml:space="preserve">culture and climate change adaptation (see </w:t>
            </w:r>
            <w:proofErr w:type="spellStart"/>
            <w:r w:rsidR="0BEA1F14" w:rsidRPr="1B2DA3A6">
              <w:rPr>
                <w:rFonts w:ascii="Aptos Narrow" w:eastAsia="Aptos Narrow" w:hAnsi="Aptos Narrow" w:cs="Aptos Narrow"/>
                <w:sz w:val="22"/>
                <w:szCs w:val="22"/>
              </w:rPr>
              <w:t>Rühlemann</w:t>
            </w:r>
            <w:proofErr w:type="spellEnd"/>
            <w:r w:rsidR="0BEA1F14" w:rsidRPr="1B2DA3A6">
              <w:rPr>
                <w:rFonts w:ascii="Aptos Narrow" w:eastAsia="Aptos Narrow" w:hAnsi="Aptos Narrow" w:cs="Aptos Narrow"/>
                <w:sz w:val="22"/>
                <w:szCs w:val="22"/>
              </w:rPr>
              <w:t xml:space="preserve"> and Jordan, 2021; Pisor, Lansing and Magargal, 2023), this research suggests that exploring the cultural values </w:t>
            </w:r>
            <w:r w:rsidR="5E8BAB1D" w:rsidRPr="1B2DA3A6">
              <w:rPr>
                <w:rFonts w:ascii="Aptos Narrow" w:eastAsia="Aptos Narrow" w:hAnsi="Aptos Narrow" w:cs="Aptos Narrow"/>
                <w:sz w:val="22"/>
                <w:szCs w:val="22"/>
              </w:rPr>
              <w:t>associated</w:t>
            </w:r>
            <w:r w:rsidR="0BEA1F14" w:rsidRPr="1B2DA3A6">
              <w:rPr>
                <w:rFonts w:ascii="Aptos Narrow" w:eastAsia="Aptos Narrow" w:hAnsi="Aptos Narrow" w:cs="Aptos Narrow"/>
                <w:sz w:val="22"/>
                <w:szCs w:val="22"/>
              </w:rPr>
              <w:t xml:space="preserve"> with a place or sector offers a way to understand and </w:t>
            </w:r>
            <w:r w:rsidR="01B4CC33" w:rsidRPr="1B2DA3A6">
              <w:rPr>
                <w:rFonts w:ascii="Aptos Narrow" w:eastAsia="Aptos Narrow" w:hAnsi="Aptos Narrow" w:cs="Aptos Narrow"/>
                <w:sz w:val="22"/>
                <w:szCs w:val="22"/>
              </w:rPr>
              <w:t>motivate adaptation pathways</w:t>
            </w:r>
            <w:r w:rsidR="420D0C67" w:rsidRPr="1B2DA3A6">
              <w:rPr>
                <w:rFonts w:ascii="Aptos Narrow" w:eastAsia="Aptos Narrow" w:hAnsi="Aptos Narrow" w:cs="Aptos Narrow"/>
                <w:sz w:val="22"/>
                <w:szCs w:val="22"/>
              </w:rPr>
              <w:t xml:space="preserve">. </w:t>
            </w:r>
          </w:p>
          <w:p w14:paraId="4D7B65A8" w14:textId="707AC2D1" w:rsidR="00BE58D6" w:rsidRDefault="00BE58D6" w:rsidP="1B2DA3A6">
            <w:pPr>
              <w:jc w:val="both"/>
              <w:rPr>
                <w:rFonts w:ascii="Aptos Narrow" w:eastAsia="Aptos Narrow" w:hAnsi="Aptos Narrow" w:cs="Aptos Narrow"/>
                <w:sz w:val="22"/>
                <w:szCs w:val="22"/>
              </w:rPr>
            </w:pPr>
          </w:p>
          <w:p w14:paraId="3C96C1C6" w14:textId="0FF700FD" w:rsidR="4BBC3796" w:rsidRDefault="4BBC3796" w:rsidP="1B2DA3A6">
            <w:pPr>
              <w:jc w:val="both"/>
              <w:rPr>
                <w:rFonts w:ascii="Aptos Narrow" w:eastAsia="Aptos Narrow" w:hAnsi="Aptos Narrow" w:cs="Aptos Narrow"/>
                <w:b/>
                <w:bCs/>
                <w:sz w:val="28"/>
                <w:szCs w:val="28"/>
              </w:rPr>
            </w:pPr>
            <w:r w:rsidRPr="1B2DA3A6">
              <w:rPr>
                <w:rFonts w:ascii="Aptos Narrow" w:eastAsia="Aptos Narrow" w:hAnsi="Aptos Narrow" w:cs="Aptos Narrow"/>
                <w:b/>
                <w:bCs/>
                <w:sz w:val="24"/>
                <w:szCs w:val="24"/>
              </w:rPr>
              <w:t xml:space="preserve">References: </w:t>
            </w:r>
          </w:p>
          <w:p w14:paraId="66E86AC3" w14:textId="5AD2D5CD" w:rsidR="391D5ECD" w:rsidRDefault="391D5ECD" w:rsidP="1B2DA3A6">
            <w:pPr>
              <w:jc w:val="both"/>
              <w:rPr>
                <w:rFonts w:ascii="Aptos Narrow" w:eastAsia="Aptos Narrow" w:hAnsi="Aptos Narrow" w:cs="Aptos Narrow"/>
                <w:sz w:val="22"/>
                <w:szCs w:val="22"/>
              </w:rPr>
            </w:pPr>
            <w:r w:rsidRPr="1B2DA3A6">
              <w:rPr>
                <w:rFonts w:ascii="Aptos Narrow" w:eastAsia="Aptos Narrow" w:hAnsi="Aptos Narrow" w:cs="Aptos Narrow"/>
                <w:sz w:val="22"/>
                <w:szCs w:val="22"/>
              </w:rPr>
              <w:t>Feola, G. (2015) ‘Societal transformation in response to global environmental change: A</w:t>
            </w:r>
          </w:p>
          <w:p w14:paraId="6DEC6656" w14:textId="5F5C90F2" w:rsidR="391D5ECD" w:rsidRDefault="391D5ECD" w:rsidP="1B2DA3A6">
            <w:pPr>
              <w:jc w:val="both"/>
            </w:pPr>
            <w:r w:rsidRPr="1B2DA3A6">
              <w:rPr>
                <w:rFonts w:ascii="Aptos Narrow" w:eastAsia="Aptos Narrow" w:hAnsi="Aptos Narrow" w:cs="Aptos Narrow"/>
                <w:sz w:val="22"/>
                <w:szCs w:val="22"/>
              </w:rPr>
              <w:t xml:space="preserve">review of emerging concepts’, </w:t>
            </w:r>
            <w:proofErr w:type="spellStart"/>
            <w:r w:rsidRPr="1B2DA3A6">
              <w:rPr>
                <w:rFonts w:ascii="Aptos Narrow" w:eastAsia="Aptos Narrow" w:hAnsi="Aptos Narrow" w:cs="Aptos Narrow"/>
                <w:i/>
                <w:iCs/>
                <w:sz w:val="22"/>
                <w:szCs w:val="22"/>
              </w:rPr>
              <w:t>Ambio</w:t>
            </w:r>
            <w:proofErr w:type="spellEnd"/>
            <w:r w:rsidRPr="1B2DA3A6">
              <w:rPr>
                <w:rFonts w:ascii="Aptos Narrow" w:eastAsia="Aptos Narrow" w:hAnsi="Aptos Narrow" w:cs="Aptos Narrow"/>
                <w:sz w:val="22"/>
                <w:szCs w:val="22"/>
              </w:rPr>
              <w:t>, 44(5), pp. 376–390. Available at:</w:t>
            </w:r>
          </w:p>
          <w:p w14:paraId="2E50FFA5" w14:textId="730E202A" w:rsidR="391D5ECD" w:rsidRDefault="391D5ECD" w:rsidP="1B2DA3A6">
            <w:pPr>
              <w:jc w:val="both"/>
              <w:rPr>
                <w:rFonts w:ascii="Aptos Narrow" w:eastAsia="Aptos Narrow" w:hAnsi="Aptos Narrow" w:cs="Aptos Narrow"/>
                <w:sz w:val="22"/>
                <w:szCs w:val="22"/>
              </w:rPr>
            </w:pPr>
            <w:hyperlink r:id="rId10">
              <w:r w:rsidRPr="1B2DA3A6">
                <w:rPr>
                  <w:rStyle w:val="Hyperlink"/>
                  <w:rFonts w:ascii="Aptos Narrow" w:eastAsia="Aptos Narrow" w:hAnsi="Aptos Narrow" w:cs="Aptos Narrow"/>
                  <w:sz w:val="22"/>
                  <w:szCs w:val="22"/>
                </w:rPr>
                <w:t>https://doi.org/10.1007/s13280-014-0582-z</w:t>
              </w:r>
            </w:hyperlink>
            <w:r w:rsidR="329B48A5" w:rsidRPr="1B2DA3A6">
              <w:rPr>
                <w:rFonts w:ascii="Aptos Narrow" w:eastAsia="Aptos Narrow" w:hAnsi="Aptos Narrow" w:cs="Aptos Narrow"/>
                <w:sz w:val="22"/>
                <w:szCs w:val="22"/>
              </w:rPr>
              <w:t xml:space="preserve">. </w:t>
            </w:r>
          </w:p>
          <w:p w14:paraId="32DD64E7" w14:textId="40E4BEAE" w:rsidR="329B48A5" w:rsidRDefault="329B48A5" w:rsidP="1B2DA3A6">
            <w:pPr>
              <w:jc w:val="both"/>
              <w:rPr>
                <w:rFonts w:ascii="Aptos Narrow" w:eastAsia="Aptos Narrow" w:hAnsi="Aptos Narrow" w:cs="Aptos Narrow"/>
                <w:sz w:val="22"/>
                <w:szCs w:val="22"/>
              </w:rPr>
            </w:pPr>
            <w:r w:rsidRPr="1B2DA3A6">
              <w:rPr>
                <w:rFonts w:ascii="Aptos Narrow" w:eastAsia="Aptos Narrow" w:hAnsi="Aptos Narrow" w:cs="Aptos Narrow"/>
                <w:sz w:val="22"/>
                <w:szCs w:val="22"/>
              </w:rPr>
              <w:t>Pisor, A., Lansing, J.S. and Magargal, K. (2023) ‘Climate change adaptation needs a science</w:t>
            </w:r>
          </w:p>
          <w:p w14:paraId="03A6A61E" w14:textId="0D812658" w:rsidR="329B48A5" w:rsidRDefault="329B48A5" w:rsidP="1B2DA3A6">
            <w:pPr>
              <w:jc w:val="both"/>
            </w:pPr>
            <w:r w:rsidRPr="1B2DA3A6">
              <w:rPr>
                <w:rFonts w:ascii="Aptos Narrow" w:eastAsia="Aptos Narrow" w:hAnsi="Aptos Narrow" w:cs="Aptos Narrow"/>
                <w:sz w:val="22"/>
                <w:szCs w:val="22"/>
              </w:rPr>
              <w:t xml:space="preserve">of culture’, </w:t>
            </w:r>
            <w:r w:rsidRPr="1B2DA3A6">
              <w:rPr>
                <w:rFonts w:ascii="Aptos Narrow" w:eastAsia="Aptos Narrow" w:hAnsi="Aptos Narrow" w:cs="Aptos Narrow"/>
                <w:i/>
                <w:iCs/>
                <w:sz w:val="22"/>
                <w:szCs w:val="22"/>
              </w:rPr>
              <w:t>Philosophical Transactions of the Royal Society B: Biological Sciences</w:t>
            </w:r>
            <w:r w:rsidRPr="1B2DA3A6">
              <w:rPr>
                <w:rFonts w:ascii="Aptos Narrow" w:eastAsia="Aptos Narrow" w:hAnsi="Aptos Narrow" w:cs="Aptos Narrow"/>
                <w:sz w:val="22"/>
                <w:szCs w:val="22"/>
              </w:rPr>
              <w:t>, 378(1889),</w:t>
            </w:r>
          </w:p>
          <w:p w14:paraId="737AB7EC" w14:textId="6FAF6C9D" w:rsidR="329B48A5" w:rsidRDefault="329B48A5" w:rsidP="1B2DA3A6">
            <w:pPr>
              <w:jc w:val="both"/>
            </w:pPr>
            <w:r w:rsidRPr="1B2DA3A6">
              <w:rPr>
                <w:rFonts w:ascii="Aptos Narrow" w:eastAsia="Aptos Narrow" w:hAnsi="Aptos Narrow" w:cs="Aptos Narrow"/>
                <w:sz w:val="22"/>
                <w:szCs w:val="22"/>
              </w:rPr>
              <w:t xml:space="preserve">p. 20220390. Available at: </w:t>
            </w:r>
            <w:hyperlink r:id="rId11">
              <w:r w:rsidRPr="1B2DA3A6">
                <w:rPr>
                  <w:rStyle w:val="Hyperlink"/>
                  <w:rFonts w:ascii="Aptos Narrow" w:eastAsia="Aptos Narrow" w:hAnsi="Aptos Narrow" w:cs="Aptos Narrow"/>
                  <w:sz w:val="22"/>
                  <w:szCs w:val="22"/>
                </w:rPr>
                <w:t>https://doi.org/10.1098/rstb.2022.0390</w:t>
              </w:r>
            </w:hyperlink>
            <w:r w:rsidRPr="1B2DA3A6">
              <w:rPr>
                <w:rFonts w:ascii="Aptos Narrow" w:eastAsia="Aptos Narrow" w:hAnsi="Aptos Narrow" w:cs="Aptos Narrow"/>
                <w:sz w:val="22"/>
                <w:szCs w:val="22"/>
              </w:rPr>
              <w:t xml:space="preserve"> </w:t>
            </w:r>
          </w:p>
          <w:p w14:paraId="68A4DBE3" w14:textId="17450F8E" w:rsidR="329B48A5" w:rsidRDefault="329B48A5" w:rsidP="1B2DA3A6">
            <w:pPr>
              <w:jc w:val="both"/>
              <w:rPr>
                <w:rFonts w:ascii="Aptos Narrow" w:eastAsia="Aptos Narrow" w:hAnsi="Aptos Narrow" w:cs="Aptos Narrow"/>
                <w:sz w:val="22"/>
                <w:szCs w:val="22"/>
              </w:rPr>
            </w:pPr>
            <w:r w:rsidRPr="1B2DA3A6">
              <w:rPr>
                <w:rFonts w:ascii="Aptos Narrow" w:eastAsia="Aptos Narrow" w:hAnsi="Aptos Narrow" w:cs="Aptos Narrow"/>
                <w:sz w:val="22"/>
                <w:szCs w:val="22"/>
              </w:rPr>
              <w:t>Rühlemann, A. and Jordan, J.C. (2021) ‘Risk perception and culture: implications for</w:t>
            </w:r>
          </w:p>
          <w:p w14:paraId="71C8BA98" w14:textId="64677350" w:rsidR="329B48A5" w:rsidRDefault="329B48A5" w:rsidP="1B2DA3A6">
            <w:pPr>
              <w:jc w:val="both"/>
            </w:pPr>
            <w:r w:rsidRPr="1B2DA3A6">
              <w:rPr>
                <w:rFonts w:ascii="Aptos Narrow" w:eastAsia="Aptos Narrow" w:hAnsi="Aptos Narrow" w:cs="Aptos Narrow"/>
                <w:sz w:val="22"/>
                <w:szCs w:val="22"/>
              </w:rPr>
              <w:t xml:space="preserve">vulnerability and adaptation to climate change’, </w:t>
            </w:r>
            <w:r w:rsidRPr="1B2DA3A6">
              <w:rPr>
                <w:rFonts w:ascii="Aptos Narrow" w:eastAsia="Aptos Narrow" w:hAnsi="Aptos Narrow" w:cs="Aptos Narrow"/>
                <w:i/>
                <w:iCs/>
                <w:sz w:val="22"/>
                <w:szCs w:val="22"/>
              </w:rPr>
              <w:t>Disasters</w:t>
            </w:r>
            <w:r w:rsidRPr="1B2DA3A6">
              <w:rPr>
                <w:rFonts w:ascii="Aptos Narrow" w:eastAsia="Aptos Narrow" w:hAnsi="Aptos Narrow" w:cs="Aptos Narrow"/>
                <w:sz w:val="22"/>
                <w:szCs w:val="22"/>
              </w:rPr>
              <w:t>, 45(2), pp. 424–452. Available at:</w:t>
            </w:r>
          </w:p>
          <w:p w14:paraId="54FA3B2F" w14:textId="4DB23E19" w:rsidR="329B48A5" w:rsidRDefault="329B48A5" w:rsidP="1B2DA3A6">
            <w:pPr>
              <w:jc w:val="both"/>
            </w:pPr>
            <w:hyperlink r:id="rId12">
              <w:r w:rsidRPr="1B2DA3A6">
                <w:rPr>
                  <w:rStyle w:val="Hyperlink"/>
                  <w:rFonts w:ascii="Aptos Narrow" w:eastAsia="Aptos Narrow" w:hAnsi="Aptos Narrow" w:cs="Aptos Narrow"/>
                  <w:sz w:val="22"/>
                  <w:szCs w:val="22"/>
                </w:rPr>
                <w:t>https://doi.org/10.1111/disa.12429</w:t>
              </w:r>
            </w:hyperlink>
            <w:r w:rsidRPr="1B2DA3A6">
              <w:rPr>
                <w:rFonts w:ascii="Aptos Narrow" w:eastAsia="Aptos Narrow" w:hAnsi="Aptos Narrow" w:cs="Aptos Narrow"/>
                <w:sz w:val="22"/>
                <w:szCs w:val="22"/>
              </w:rPr>
              <w:t xml:space="preserve">. </w:t>
            </w:r>
          </w:p>
          <w:p w14:paraId="10281E5B" w14:textId="12D29487" w:rsidR="329B48A5" w:rsidRDefault="329B48A5" w:rsidP="1B2DA3A6">
            <w:pPr>
              <w:jc w:val="both"/>
            </w:pPr>
            <w:r w:rsidRPr="1B2DA3A6">
              <w:rPr>
                <w:rFonts w:ascii="Aptos Narrow" w:eastAsia="Aptos Narrow" w:hAnsi="Aptos Narrow" w:cs="Aptos Narrow"/>
                <w:sz w:val="22"/>
                <w:szCs w:val="22"/>
                <w:lang w:val="en-CA"/>
              </w:rPr>
              <w:t xml:space="preserve">Seabrooke, L. and </w:t>
            </w:r>
            <w:proofErr w:type="spellStart"/>
            <w:r w:rsidRPr="1B2DA3A6">
              <w:rPr>
                <w:rFonts w:ascii="Aptos Narrow" w:eastAsia="Aptos Narrow" w:hAnsi="Aptos Narrow" w:cs="Aptos Narrow"/>
                <w:sz w:val="22"/>
                <w:szCs w:val="22"/>
                <w:lang w:val="en-CA"/>
              </w:rPr>
              <w:t>Tsingou</w:t>
            </w:r>
            <w:proofErr w:type="spellEnd"/>
            <w:r w:rsidRPr="1B2DA3A6">
              <w:rPr>
                <w:rFonts w:ascii="Aptos Narrow" w:eastAsia="Aptos Narrow" w:hAnsi="Aptos Narrow" w:cs="Aptos Narrow"/>
                <w:sz w:val="22"/>
                <w:szCs w:val="22"/>
                <w:lang w:val="en-CA"/>
              </w:rPr>
              <w:t xml:space="preserve">, E. (2018) ‘Europe’s fast- and slow-burning crises’, </w:t>
            </w:r>
            <w:r w:rsidRPr="1B2DA3A6">
              <w:rPr>
                <w:rFonts w:ascii="Aptos Narrow" w:eastAsia="Aptos Narrow" w:hAnsi="Aptos Narrow" w:cs="Aptos Narrow"/>
                <w:i/>
                <w:iCs/>
                <w:sz w:val="22"/>
                <w:szCs w:val="22"/>
                <w:lang w:val="en-CA"/>
              </w:rPr>
              <w:t>Journal of European Public Policy</w:t>
            </w:r>
            <w:r w:rsidRPr="1B2DA3A6">
              <w:rPr>
                <w:rFonts w:ascii="Aptos Narrow" w:eastAsia="Aptos Narrow" w:hAnsi="Aptos Narrow" w:cs="Aptos Narrow"/>
                <w:sz w:val="22"/>
                <w:szCs w:val="22"/>
                <w:lang w:val="en-CA"/>
              </w:rPr>
              <w:t xml:space="preserve">, 26(3), pp. 468–481. </w:t>
            </w:r>
            <w:proofErr w:type="spellStart"/>
            <w:r w:rsidRPr="1B2DA3A6">
              <w:rPr>
                <w:rFonts w:ascii="Aptos Narrow" w:eastAsia="Aptos Narrow" w:hAnsi="Aptos Narrow" w:cs="Aptos Narrow"/>
                <w:sz w:val="22"/>
                <w:szCs w:val="22"/>
                <w:lang w:val="en-CA"/>
              </w:rPr>
              <w:t>doi</w:t>
            </w:r>
            <w:proofErr w:type="spellEnd"/>
            <w:r w:rsidRPr="1B2DA3A6">
              <w:rPr>
                <w:rFonts w:ascii="Aptos Narrow" w:eastAsia="Aptos Narrow" w:hAnsi="Aptos Narrow" w:cs="Aptos Narrow"/>
                <w:sz w:val="22"/>
                <w:szCs w:val="22"/>
                <w:lang w:val="en-CA"/>
              </w:rPr>
              <w:t>: 10.1080/13501763.2018.1446456.</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headerReference w:type="even" r:id="rId13"/>
      <w:head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02D3" w14:textId="77777777" w:rsidR="004E4CA6" w:rsidRDefault="004E4CA6" w:rsidP="004E4CA6">
      <w:r>
        <w:separator/>
      </w:r>
    </w:p>
  </w:endnote>
  <w:endnote w:type="continuationSeparator" w:id="0">
    <w:p w14:paraId="2654879F" w14:textId="77777777" w:rsidR="004E4CA6" w:rsidRDefault="004E4CA6" w:rsidP="004E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A678" w14:textId="77777777" w:rsidR="004E4CA6" w:rsidRDefault="004E4CA6" w:rsidP="004E4CA6">
      <w:r>
        <w:separator/>
      </w:r>
    </w:p>
  </w:footnote>
  <w:footnote w:type="continuationSeparator" w:id="0">
    <w:p w14:paraId="10974398" w14:textId="77777777" w:rsidR="004E4CA6" w:rsidRDefault="004E4CA6" w:rsidP="004E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200D" w14:textId="0B390A53" w:rsidR="004E4CA6" w:rsidRDefault="004E4CA6">
    <w:pPr>
      <w:pStyle w:val="Header"/>
    </w:pPr>
    <w:r>
      <w:rPr>
        <w:noProof/>
      </w:rPr>
      <mc:AlternateContent>
        <mc:Choice Requires="wps">
          <w:drawing>
            <wp:anchor distT="0" distB="0" distL="0" distR="0" simplePos="0" relativeHeight="251659264" behindDoc="0" locked="0" layoutInCell="1" allowOverlap="1" wp14:anchorId="264DBFEF" wp14:editId="26904A2B">
              <wp:simplePos x="635" y="635"/>
              <wp:positionH relativeFrom="page">
                <wp:align>center</wp:align>
              </wp:positionH>
              <wp:positionV relativeFrom="page">
                <wp:align>top</wp:align>
              </wp:positionV>
              <wp:extent cx="1400175" cy="333375"/>
              <wp:effectExtent l="0" t="0" r="9525" b="9525"/>
              <wp:wrapNone/>
              <wp:docPr id="16032657"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33375"/>
                      </a:xfrm>
                      <a:prstGeom prst="rect">
                        <a:avLst/>
                      </a:prstGeom>
                      <a:noFill/>
                      <a:ln>
                        <a:noFill/>
                      </a:ln>
                    </wps:spPr>
                    <wps:txbx>
                      <w:txbxContent>
                        <w:p w14:paraId="4D231055" w14:textId="55367E18" w:rsidR="004E4CA6" w:rsidRPr="004E4CA6" w:rsidRDefault="004E4CA6" w:rsidP="004E4CA6">
                          <w:pPr>
                            <w:rPr>
                              <w:rFonts w:ascii="Calibri" w:eastAsia="Calibri" w:hAnsi="Calibri" w:cs="Calibri"/>
                              <w:noProof/>
                              <w:color w:val="FFFF00"/>
                              <w:sz w:val="20"/>
                              <w:szCs w:val="20"/>
                            </w:rPr>
                          </w:pPr>
                          <w:r w:rsidRPr="004E4CA6">
                            <w:rPr>
                              <w:rFonts w:ascii="Calibri" w:eastAsia="Calibri" w:hAnsi="Calibri" w:cs="Calibri"/>
                              <w:noProof/>
                              <w:color w:val="FFFF00"/>
                              <w:sz w:val="20"/>
                              <w:szCs w:val="2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4DBFEF">
              <v:stroke joinstyle="miter"/>
              <v:path gradientshapeok="t" o:connecttype="rect"/>
            </v:shapetype>
            <v:shape id="Text Box 2" style="position:absolute;margin-left:0;margin-top:0;width:110.25pt;height:26.25pt;z-index:251659264;visibility:visible;mso-wrap-style:none;mso-wrap-distance-left:0;mso-wrap-distance-top:0;mso-wrap-distance-right:0;mso-wrap-distance-bottom:0;mso-position-horizontal:center;mso-position-horizontal-relative:page;mso-position-vertical:top;mso-position-vertical-relative:page;v-text-anchor:top" alt="RMIT Classification: Trus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">
              <v:fill o:detectmouseclick="t"/>
              <v:textbox style="mso-fit-shape-to-text:t" inset="0,15pt,0,0">
                <w:txbxContent>
                  <w:p w:rsidRPr="004E4CA6" w:rsidR="004E4CA6" w:rsidP="004E4CA6" w:rsidRDefault="004E4CA6" w14:paraId="4D231055" w14:textId="55367E18">
                    <w:pPr>
                      <w:rPr>
                        <w:rFonts w:ascii="Calibri" w:hAnsi="Calibri" w:eastAsia="Calibri" w:cs="Calibri"/>
                        <w:noProof/>
                        <w:color w:val="FFFF00"/>
                        <w:sz w:val="20"/>
                        <w:szCs w:val="20"/>
                      </w:rPr>
                    </w:pPr>
                    <w:r w:rsidRPr="004E4CA6">
                      <w:rPr>
                        <w:rFonts w:ascii="Calibri" w:hAnsi="Calibri" w:eastAsia="Calibri" w:cs="Calibri"/>
                        <w:noProof/>
                        <w:color w:val="FFFF00"/>
                        <w:sz w:val="20"/>
                        <w:szCs w:val="2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0023" w14:textId="4F26BC75" w:rsidR="004E4CA6" w:rsidRDefault="004E4CA6">
    <w:pPr>
      <w:pStyle w:val="Header"/>
    </w:pPr>
    <w:r>
      <w:rPr>
        <w:noProof/>
      </w:rPr>
      <mc:AlternateContent>
        <mc:Choice Requires="wps">
          <w:drawing>
            <wp:anchor distT="0" distB="0" distL="0" distR="0" simplePos="0" relativeHeight="251660288" behindDoc="0" locked="0" layoutInCell="1" allowOverlap="1" wp14:anchorId="1C18AE0C" wp14:editId="24BB5ABE">
              <wp:simplePos x="635" y="635"/>
              <wp:positionH relativeFrom="page">
                <wp:align>center</wp:align>
              </wp:positionH>
              <wp:positionV relativeFrom="page">
                <wp:align>top</wp:align>
              </wp:positionV>
              <wp:extent cx="1400175" cy="333375"/>
              <wp:effectExtent l="0" t="0" r="9525" b="9525"/>
              <wp:wrapNone/>
              <wp:docPr id="1022824682"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33375"/>
                      </a:xfrm>
                      <a:prstGeom prst="rect">
                        <a:avLst/>
                      </a:prstGeom>
                      <a:noFill/>
                      <a:ln>
                        <a:noFill/>
                      </a:ln>
                    </wps:spPr>
                    <wps:txbx>
                      <w:txbxContent>
                        <w:p w14:paraId="70342295" w14:textId="1B1F8EF0" w:rsidR="004E4CA6" w:rsidRPr="004E4CA6" w:rsidRDefault="004E4CA6" w:rsidP="004E4CA6">
                          <w:pPr>
                            <w:rPr>
                              <w:rFonts w:ascii="Calibri" w:eastAsia="Calibri" w:hAnsi="Calibri" w:cs="Calibri"/>
                              <w:noProof/>
                              <w:color w:val="FFFF00"/>
                              <w:sz w:val="20"/>
                              <w:szCs w:val="20"/>
                            </w:rPr>
                          </w:pPr>
                          <w:r w:rsidRPr="004E4CA6">
                            <w:rPr>
                              <w:rFonts w:ascii="Calibri" w:eastAsia="Calibri" w:hAnsi="Calibri" w:cs="Calibri"/>
                              <w:noProof/>
                              <w:color w:val="FFFF00"/>
                              <w:sz w:val="20"/>
                              <w:szCs w:val="2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C18AE0C">
              <v:stroke joinstyle="miter"/>
              <v:path gradientshapeok="t" o:connecttype="rect"/>
            </v:shapetype>
            <v:shape id="Text Box 3" style="position:absolute;margin-left:0;margin-top:0;width:110.25pt;height:26.25pt;z-index:251660288;visibility:visible;mso-wrap-style:none;mso-wrap-distance-left:0;mso-wrap-distance-top:0;mso-wrap-distance-right:0;mso-wrap-distance-bottom:0;mso-position-horizontal:center;mso-position-horizontal-relative:page;mso-position-vertical:top;mso-position-vertical-relative:page;v-text-anchor:top" alt="RMIT Classification: Trus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">
              <v:fill o:detectmouseclick="t"/>
              <v:textbox style="mso-fit-shape-to-text:t" inset="0,15pt,0,0">
                <w:txbxContent>
                  <w:p w:rsidRPr="004E4CA6" w:rsidR="004E4CA6" w:rsidP="004E4CA6" w:rsidRDefault="004E4CA6" w14:paraId="70342295" w14:textId="1B1F8EF0">
                    <w:pPr>
                      <w:rPr>
                        <w:rFonts w:ascii="Calibri" w:hAnsi="Calibri" w:eastAsia="Calibri" w:cs="Calibri"/>
                        <w:noProof/>
                        <w:color w:val="FFFF00"/>
                        <w:sz w:val="20"/>
                        <w:szCs w:val="20"/>
                      </w:rPr>
                    </w:pPr>
                    <w:r w:rsidRPr="004E4CA6">
                      <w:rPr>
                        <w:rFonts w:ascii="Calibri" w:hAnsi="Calibri" w:eastAsia="Calibri" w:cs="Calibri"/>
                        <w:noProof/>
                        <w:color w:val="FFFF00"/>
                        <w:sz w:val="20"/>
                        <w:szCs w:val="20"/>
                      </w:rPr>
                      <w:t>RMIT Classification: Trusted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6AA0" w14:textId="49456BA2" w:rsidR="004E4CA6" w:rsidRDefault="004E4CA6">
    <w:pPr>
      <w:pStyle w:val="Header"/>
    </w:pPr>
    <w:r>
      <w:rPr>
        <w:noProof/>
      </w:rPr>
      <mc:AlternateContent>
        <mc:Choice Requires="wps">
          <w:drawing>
            <wp:anchor distT="0" distB="0" distL="0" distR="0" simplePos="0" relativeHeight="251658240" behindDoc="0" locked="0" layoutInCell="1" allowOverlap="1" wp14:anchorId="073EF26F" wp14:editId="030E6595">
              <wp:simplePos x="635" y="635"/>
              <wp:positionH relativeFrom="page">
                <wp:align>center</wp:align>
              </wp:positionH>
              <wp:positionV relativeFrom="page">
                <wp:align>top</wp:align>
              </wp:positionV>
              <wp:extent cx="1400175" cy="333375"/>
              <wp:effectExtent l="0" t="0" r="9525" b="9525"/>
              <wp:wrapNone/>
              <wp:docPr id="917856883"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33375"/>
                      </a:xfrm>
                      <a:prstGeom prst="rect">
                        <a:avLst/>
                      </a:prstGeom>
                      <a:noFill/>
                      <a:ln>
                        <a:noFill/>
                      </a:ln>
                    </wps:spPr>
                    <wps:txbx>
                      <w:txbxContent>
                        <w:p w14:paraId="754A0E2A" w14:textId="350E5CE4" w:rsidR="004E4CA6" w:rsidRPr="004E4CA6" w:rsidRDefault="004E4CA6" w:rsidP="004E4CA6">
                          <w:pPr>
                            <w:rPr>
                              <w:rFonts w:ascii="Calibri" w:eastAsia="Calibri" w:hAnsi="Calibri" w:cs="Calibri"/>
                              <w:noProof/>
                              <w:color w:val="FFFF00"/>
                              <w:sz w:val="20"/>
                              <w:szCs w:val="20"/>
                            </w:rPr>
                          </w:pPr>
                          <w:r w:rsidRPr="004E4CA6">
                            <w:rPr>
                              <w:rFonts w:ascii="Calibri" w:eastAsia="Calibri" w:hAnsi="Calibri" w:cs="Calibri"/>
                              <w:noProof/>
                              <w:color w:val="FFFF00"/>
                              <w:sz w:val="20"/>
                              <w:szCs w:val="2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73EF26F">
              <v:stroke joinstyle="miter"/>
              <v:path gradientshapeok="t" o:connecttype="rect"/>
            </v:shapetype>
            <v:shape id="Text Box 1" style="position:absolute;margin-left:0;margin-top:0;width:110.25pt;height:26.25pt;z-index:251658240;visibility:visible;mso-wrap-style:none;mso-wrap-distance-left:0;mso-wrap-distance-top:0;mso-wrap-distance-right:0;mso-wrap-distance-bottom:0;mso-position-horizontal:center;mso-position-horizontal-relative:page;mso-position-vertical:top;mso-position-vertical-relative:page;v-text-anchor:top" alt="RMIT Classification: Trus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">
              <v:fill o:detectmouseclick="t"/>
              <v:textbox style="mso-fit-shape-to-text:t" inset="0,15pt,0,0">
                <w:txbxContent>
                  <w:p w:rsidRPr="004E4CA6" w:rsidR="004E4CA6" w:rsidP="004E4CA6" w:rsidRDefault="004E4CA6" w14:paraId="754A0E2A" w14:textId="350E5CE4">
                    <w:pPr>
                      <w:rPr>
                        <w:rFonts w:ascii="Calibri" w:hAnsi="Calibri" w:eastAsia="Calibri" w:cs="Calibri"/>
                        <w:noProof/>
                        <w:color w:val="FFFF00"/>
                        <w:sz w:val="20"/>
                        <w:szCs w:val="20"/>
                      </w:rPr>
                    </w:pPr>
                    <w:r w:rsidRPr="004E4CA6">
                      <w:rPr>
                        <w:rFonts w:ascii="Calibri" w:hAnsi="Calibri" w:eastAsia="Calibri" w:cs="Calibri"/>
                        <w:noProof/>
                        <w:color w:val="FFFF00"/>
                        <w:sz w:val="20"/>
                        <w:szCs w:val="20"/>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F89E91"/>
    <w:multiLevelType w:val="hybridMultilevel"/>
    <w:tmpl w:val="9A508A70"/>
    <w:lvl w:ilvl="0" w:tplc="8BDE29D6">
      <w:start w:val="1"/>
      <w:numFmt w:val="decimal"/>
      <w:lvlText w:val="%1."/>
      <w:lvlJc w:val="left"/>
      <w:pPr>
        <w:ind w:left="720" w:hanging="360"/>
      </w:pPr>
    </w:lvl>
    <w:lvl w:ilvl="1" w:tplc="3972533A">
      <w:start w:val="1"/>
      <w:numFmt w:val="lowerLetter"/>
      <w:lvlText w:val="%2."/>
      <w:lvlJc w:val="left"/>
      <w:pPr>
        <w:ind w:left="1440" w:hanging="360"/>
      </w:pPr>
    </w:lvl>
    <w:lvl w:ilvl="2" w:tplc="3BF459D6">
      <w:start w:val="1"/>
      <w:numFmt w:val="lowerRoman"/>
      <w:lvlText w:val="%3."/>
      <w:lvlJc w:val="right"/>
      <w:pPr>
        <w:ind w:left="2160" w:hanging="180"/>
      </w:pPr>
    </w:lvl>
    <w:lvl w:ilvl="3" w:tplc="F0B615EA">
      <w:start w:val="1"/>
      <w:numFmt w:val="decimal"/>
      <w:lvlText w:val="%4."/>
      <w:lvlJc w:val="left"/>
      <w:pPr>
        <w:ind w:left="2880" w:hanging="360"/>
      </w:pPr>
    </w:lvl>
    <w:lvl w:ilvl="4" w:tplc="38B25286">
      <w:start w:val="1"/>
      <w:numFmt w:val="lowerLetter"/>
      <w:lvlText w:val="%5."/>
      <w:lvlJc w:val="left"/>
      <w:pPr>
        <w:ind w:left="3600" w:hanging="360"/>
      </w:pPr>
    </w:lvl>
    <w:lvl w:ilvl="5" w:tplc="3648D672">
      <w:start w:val="1"/>
      <w:numFmt w:val="lowerRoman"/>
      <w:lvlText w:val="%6."/>
      <w:lvlJc w:val="right"/>
      <w:pPr>
        <w:ind w:left="4320" w:hanging="180"/>
      </w:pPr>
    </w:lvl>
    <w:lvl w:ilvl="6" w:tplc="589A8348">
      <w:start w:val="1"/>
      <w:numFmt w:val="decimal"/>
      <w:lvlText w:val="%7."/>
      <w:lvlJc w:val="left"/>
      <w:pPr>
        <w:ind w:left="5040" w:hanging="360"/>
      </w:pPr>
    </w:lvl>
    <w:lvl w:ilvl="7" w:tplc="0248C554">
      <w:start w:val="1"/>
      <w:numFmt w:val="lowerLetter"/>
      <w:lvlText w:val="%8."/>
      <w:lvlJc w:val="left"/>
      <w:pPr>
        <w:ind w:left="5760" w:hanging="360"/>
      </w:pPr>
    </w:lvl>
    <w:lvl w:ilvl="8" w:tplc="D6BEB25E">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0777373">
    <w:abstractNumId w:val="2"/>
  </w:num>
  <w:num w:numId="2" w16cid:durableId="416439391">
    <w:abstractNumId w:val="0"/>
  </w:num>
  <w:num w:numId="3" w16cid:durableId="1027095654">
    <w:abstractNumId w:val="3"/>
  </w:num>
  <w:num w:numId="4"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60E1A"/>
    <w:rsid w:val="002E3AA3"/>
    <w:rsid w:val="00317356"/>
    <w:rsid w:val="0034503D"/>
    <w:rsid w:val="00354C31"/>
    <w:rsid w:val="00375B20"/>
    <w:rsid w:val="00386D01"/>
    <w:rsid w:val="004049E7"/>
    <w:rsid w:val="00462B90"/>
    <w:rsid w:val="004828A0"/>
    <w:rsid w:val="004B69C7"/>
    <w:rsid w:val="004D193B"/>
    <w:rsid w:val="004E4CA6"/>
    <w:rsid w:val="004F4CE8"/>
    <w:rsid w:val="004F5C81"/>
    <w:rsid w:val="0053222C"/>
    <w:rsid w:val="005469BD"/>
    <w:rsid w:val="00550B17"/>
    <w:rsid w:val="005854B8"/>
    <w:rsid w:val="005E10AC"/>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F7DC7"/>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 w:val="013B6C77"/>
    <w:rsid w:val="01B4CC33"/>
    <w:rsid w:val="052425B5"/>
    <w:rsid w:val="06747FC8"/>
    <w:rsid w:val="07A0199C"/>
    <w:rsid w:val="08383AE9"/>
    <w:rsid w:val="089A2112"/>
    <w:rsid w:val="09FD546E"/>
    <w:rsid w:val="0AA60E34"/>
    <w:rsid w:val="0BB28CEF"/>
    <w:rsid w:val="0BEA1F14"/>
    <w:rsid w:val="0F419714"/>
    <w:rsid w:val="11A84013"/>
    <w:rsid w:val="1377DB97"/>
    <w:rsid w:val="144F665D"/>
    <w:rsid w:val="15B57385"/>
    <w:rsid w:val="16EABEF8"/>
    <w:rsid w:val="19AC5DD6"/>
    <w:rsid w:val="1A8EBCE4"/>
    <w:rsid w:val="1B2DA3A6"/>
    <w:rsid w:val="1B58005E"/>
    <w:rsid w:val="1CEEC00A"/>
    <w:rsid w:val="1E3CBB7B"/>
    <w:rsid w:val="1E8B26AF"/>
    <w:rsid w:val="20651E5B"/>
    <w:rsid w:val="219DE4FB"/>
    <w:rsid w:val="21D4ACD1"/>
    <w:rsid w:val="228E5D91"/>
    <w:rsid w:val="2414FCAC"/>
    <w:rsid w:val="2475EDAD"/>
    <w:rsid w:val="24FA19D7"/>
    <w:rsid w:val="255395A6"/>
    <w:rsid w:val="25A9FAA4"/>
    <w:rsid w:val="271B5E1F"/>
    <w:rsid w:val="27CC0D33"/>
    <w:rsid w:val="28B43CAD"/>
    <w:rsid w:val="29A90B71"/>
    <w:rsid w:val="29D7A0C8"/>
    <w:rsid w:val="2A890E04"/>
    <w:rsid w:val="2AB4AFB0"/>
    <w:rsid w:val="2BB6A808"/>
    <w:rsid w:val="2D03B50E"/>
    <w:rsid w:val="2DC4F31D"/>
    <w:rsid w:val="2FCE7DAA"/>
    <w:rsid w:val="30A82966"/>
    <w:rsid w:val="318A9816"/>
    <w:rsid w:val="329B48A5"/>
    <w:rsid w:val="32C1FE40"/>
    <w:rsid w:val="332020F7"/>
    <w:rsid w:val="336A6F84"/>
    <w:rsid w:val="33E60CCA"/>
    <w:rsid w:val="354D2351"/>
    <w:rsid w:val="3684B442"/>
    <w:rsid w:val="37206B9D"/>
    <w:rsid w:val="391D5ECD"/>
    <w:rsid w:val="39352A90"/>
    <w:rsid w:val="39ACA275"/>
    <w:rsid w:val="3A025DEC"/>
    <w:rsid w:val="3B18470F"/>
    <w:rsid w:val="3DB8C621"/>
    <w:rsid w:val="3DDEDCB4"/>
    <w:rsid w:val="3F28453A"/>
    <w:rsid w:val="3FC09FAD"/>
    <w:rsid w:val="4016770C"/>
    <w:rsid w:val="405EB5D6"/>
    <w:rsid w:val="415CD086"/>
    <w:rsid w:val="41854FCB"/>
    <w:rsid w:val="420D0C67"/>
    <w:rsid w:val="4215DDE9"/>
    <w:rsid w:val="43A8DBC3"/>
    <w:rsid w:val="4420CAE2"/>
    <w:rsid w:val="4457B2F1"/>
    <w:rsid w:val="44A68AC1"/>
    <w:rsid w:val="467EDD69"/>
    <w:rsid w:val="46935B62"/>
    <w:rsid w:val="49D6580A"/>
    <w:rsid w:val="4A1412FB"/>
    <w:rsid w:val="4B2D1927"/>
    <w:rsid w:val="4B97C9DE"/>
    <w:rsid w:val="4BBC3796"/>
    <w:rsid w:val="4CAE8605"/>
    <w:rsid w:val="4E2B7F48"/>
    <w:rsid w:val="4FA6EC11"/>
    <w:rsid w:val="4FC66931"/>
    <w:rsid w:val="506EBF92"/>
    <w:rsid w:val="50DC6F21"/>
    <w:rsid w:val="5182440D"/>
    <w:rsid w:val="5259E18D"/>
    <w:rsid w:val="54600432"/>
    <w:rsid w:val="55338FEF"/>
    <w:rsid w:val="55D63894"/>
    <w:rsid w:val="561F2BF1"/>
    <w:rsid w:val="58584EAF"/>
    <w:rsid w:val="59327F49"/>
    <w:rsid w:val="5966E8E6"/>
    <w:rsid w:val="5BB0FBD1"/>
    <w:rsid w:val="5C303FE8"/>
    <w:rsid w:val="5D679193"/>
    <w:rsid w:val="5D80424B"/>
    <w:rsid w:val="5E54DC3D"/>
    <w:rsid w:val="5E6F3094"/>
    <w:rsid w:val="5E8BAB1D"/>
    <w:rsid w:val="5FF90FBF"/>
    <w:rsid w:val="606C06E7"/>
    <w:rsid w:val="62EC8E32"/>
    <w:rsid w:val="64EEF74F"/>
    <w:rsid w:val="658D058E"/>
    <w:rsid w:val="66534CF7"/>
    <w:rsid w:val="67340996"/>
    <w:rsid w:val="68012ED8"/>
    <w:rsid w:val="6A1A1DEF"/>
    <w:rsid w:val="6A4A6771"/>
    <w:rsid w:val="6AD5CF49"/>
    <w:rsid w:val="6CB77431"/>
    <w:rsid w:val="6F070F17"/>
    <w:rsid w:val="7018324E"/>
    <w:rsid w:val="706FB1C3"/>
    <w:rsid w:val="731A882F"/>
    <w:rsid w:val="7322698F"/>
    <w:rsid w:val="7324107D"/>
    <w:rsid w:val="73613540"/>
    <w:rsid w:val="73B698A4"/>
    <w:rsid w:val="748BC8D6"/>
    <w:rsid w:val="74C99B5A"/>
    <w:rsid w:val="74EC006D"/>
    <w:rsid w:val="762C8CA9"/>
    <w:rsid w:val="772B50D6"/>
    <w:rsid w:val="7816AB77"/>
    <w:rsid w:val="78D9F3ED"/>
    <w:rsid w:val="79363EA0"/>
    <w:rsid w:val="7A2C513E"/>
    <w:rsid w:val="7A9E5356"/>
    <w:rsid w:val="7DABABB2"/>
    <w:rsid w:val="7ED1F50A"/>
    <w:rsid w:val="7FFBC25D"/>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4E4CA6"/>
    <w:pPr>
      <w:tabs>
        <w:tab w:val="center" w:pos="4680"/>
        <w:tab w:val="right" w:pos="9360"/>
      </w:tabs>
    </w:pPr>
  </w:style>
  <w:style w:type="character" w:customStyle="1" w:styleId="HeaderChar">
    <w:name w:val="Header Char"/>
    <w:basedOn w:val="DefaultParagraphFont"/>
    <w:link w:val="Header"/>
    <w:uiPriority w:val="99"/>
    <w:rsid w:val="004E4CA6"/>
  </w:style>
  <w:style w:type="character" w:styleId="Hyperlink">
    <w:name w:val="Hyperlink"/>
    <w:basedOn w:val="DefaultParagraphFont"/>
    <w:uiPriority w:val="99"/>
    <w:unhideWhenUsed/>
    <w:rsid w:val="1B2DA3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11/disa.124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8/rstb.2022.0390"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i.org/10.1007/s13280-014-0582-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ab52c9b-ab33-4221-8af9-54f8f2b86a80"/>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F84F3DEB-F833-4A0F-9724-71FACED3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3d088b-6243-4963-a2e2-8b321ab7f8fc}"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2025-02-26T23:44:00Z</dcterms:created>
  <dcterms:modified xsi:type="dcterms:W3CDTF">2025-08-13T20:09:00Z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36b56273,f4a391,3cf710ea</vt:lpwstr>
  </property>
  <property fmtid="{D5CDD505-2E9C-101B-9397-08002B2CF9AE}" pid="5" name="ClassificationContentMarkingHeaderFontProps">
    <vt:lpwstr>#ffff00,10,Calibri</vt:lpwstr>
  </property>
  <property fmtid="{D5CDD505-2E9C-101B-9397-08002B2CF9AE}" pid="6" name="ClassificationContentMarkingHeaderText">
    <vt:lpwstr>RMIT Classification: Trusted</vt:lpwstr>
  </property>
</Properties>
</file>