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0C2C" w14:textId="77777777" w:rsidR="009A4535" w:rsidRDefault="00000000">
      <w:pPr>
        <w:widowControl/>
        <w:jc w:val="left"/>
        <w:rPr>
          <w:rFonts w:ascii="Arial" w:eastAsia="Calibri" w:hAnsi="Arial" w:cs="Arial"/>
          <w:kern w:val="0"/>
          <w:sz w:val="22"/>
          <w:szCs w:val="22"/>
          <w:lang w:val="en-NZ" w:eastAsia="en-US"/>
        </w:rPr>
      </w:pPr>
      <w:r>
        <w:rPr>
          <w:rFonts w:ascii="Arial" w:eastAsia="宋体" w:hAnsi="Arial" w:cs="Arial" w:hint="eastAsia"/>
          <w:kern w:val="0"/>
          <w:sz w:val="22"/>
          <w:szCs w:val="22"/>
        </w:rPr>
        <w:t>Title</w:t>
      </w:r>
      <w:r>
        <w:rPr>
          <w:rFonts w:ascii="Arial" w:eastAsia="宋体" w:hAnsi="Arial" w:cs="Arial" w:hint="eastAsia"/>
          <w:kern w:val="0"/>
          <w:sz w:val="22"/>
          <w:szCs w:val="22"/>
        </w:rPr>
        <w:t>：</w:t>
      </w:r>
      <w:r>
        <w:rPr>
          <w:rFonts w:ascii="Arial" w:eastAsia="宋体" w:hAnsi="Arial" w:cs="Arial" w:hint="eastAsia"/>
          <w:kern w:val="0"/>
          <w:sz w:val="22"/>
          <w:szCs w:val="22"/>
        </w:rPr>
        <w:t>Optimized carbohydrate diet: establishing a new paradigm in metabolic health</w:t>
      </w:r>
    </w:p>
    <w:p w14:paraId="6A9C3A2D" w14:textId="77777777" w:rsidR="009A4535" w:rsidRDefault="009A4535">
      <w:pPr>
        <w:widowControl/>
        <w:jc w:val="left"/>
        <w:rPr>
          <w:rFonts w:ascii="Arial" w:eastAsia="Calibri" w:hAnsi="Arial" w:cs="Arial"/>
          <w:kern w:val="0"/>
          <w:sz w:val="22"/>
          <w:szCs w:val="22"/>
          <w:lang w:val="en-NZ" w:eastAsia="en-US"/>
        </w:rPr>
      </w:pPr>
    </w:p>
    <w:p w14:paraId="6670556C" w14:textId="77777777" w:rsidR="009A4535" w:rsidRDefault="00000000">
      <w:pPr>
        <w:widowControl/>
        <w:jc w:val="left"/>
        <w:rPr>
          <w:rFonts w:ascii="Arial" w:eastAsia="Calibri" w:hAnsi="Arial" w:cs="Arial"/>
          <w:kern w:val="0"/>
          <w:sz w:val="22"/>
          <w:szCs w:val="22"/>
          <w:lang w:val="en-NZ" w:eastAsia="en-US"/>
        </w:rPr>
      </w:pPr>
      <w:r>
        <w:rPr>
          <w:rFonts w:ascii="Arial" w:eastAsia="Calibri" w:hAnsi="Arial" w:cs="Arial"/>
          <w:kern w:val="0"/>
          <w:sz w:val="22"/>
          <w:szCs w:val="22"/>
          <w:lang w:val="en-NZ" w:eastAsia="en-US"/>
        </w:rPr>
        <w:t>Aim:</w:t>
      </w:r>
    </w:p>
    <w:p w14:paraId="5A344D8C" w14:textId="77777777" w:rsidR="009A4535" w:rsidRDefault="00000000">
      <w:pPr>
        <w:widowControl/>
        <w:jc w:val="left"/>
        <w:rPr>
          <w:rFonts w:ascii="Arial" w:eastAsia="Calibri" w:hAnsi="Arial" w:cs="Arial"/>
          <w:kern w:val="0"/>
          <w:sz w:val="22"/>
          <w:szCs w:val="22"/>
          <w:lang w:val="en-NZ" w:eastAsia="en-US"/>
        </w:rPr>
      </w:pPr>
      <w:r>
        <w:rPr>
          <w:rFonts w:ascii="Arial" w:eastAsia="Calibri" w:hAnsi="Arial" w:cs="Arial"/>
          <w:kern w:val="0"/>
          <w:sz w:val="22"/>
          <w:szCs w:val="22"/>
          <w:lang w:val="en-NZ" w:eastAsia="en-US"/>
        </w:rPr>
        <w:t>Dietary intervention is a cornerstone of metabolic disease management. As a key nutrient in energy metabolism, carbohydrate management has long focused on restricting the quantity consumed, whereas the mechanisms for optimizing carbohydrate quality remain unclear. Resistant starch (RS)—a carbohydrate that resists small-intestinal digestion and is fermented by colonic microbes—may provide a promising approach to optimize carbohydrate composition and improve metabolic health.</w:t>
      </w:r>
    </w:p>
    <w:p w14:paraId="425EB328" w14:textId="77777777" w:rsidR="009A4535" w:rsidRDefault="009A4535">
      <w:pPr>
        <w:widowControl/>
        <w:jc w:val="left"/>
        <w:rPr>
          <w:rFonts w:ascii="Arial" w:eastAsia="Calibri" w:hAnsi="Arial" w:cs="Arial"/>
          <w:kern w:val="0"/>
          <w:sz w:val="22"/>
          <w:szCs w:val="22"/>
          <w:lang w:val="en-NZ" w:eastAsia="en-US"/>
        </w:rPr>
      </w:pPr>
    </w:p>
    <w:p w14:paraId="3FA61733" w14:textId="77777777" w:rsidR="009A4535" w:rsidRDefault="00000000">
      <w:pPr>
        <w:widowControl/>
        <w:jc w:val="left"/>
        <w:rPr>
          <w:rFonts w:ascii="Arial" w:eastAsia="Calibri" w:hAnsi="Arial" w:cs="Arial"/>
          <w:kern w:val="0"/>
          <w:sz w:val="22"/>
          <w:szCs w:val="22"/>
          <w:lang w:val="en-NZ" w:eastAsia="en-US"/>
        </w:rPr>
      </w:pPr>
      <w:r>
        <w:rPr>
          <w:rFonts w:ascii="Arial" w:eastAsia="Calibri" w:hAnsi="Arial" w:cs="Arial"/>
          <w:kern w:val="0"/>
          <w:sz w:val="22"/>
          <w:szCs w:val="22"/>
          <w:lang w:val="en-NZ" w:eastAsia="en-US"/>
        </w:rPr>
        <w:t>Methods:</w:t>
      </w:r>
    </w:p>
    <w:p w14:paraId="160FFEE8" w14:textId="77777777" w:rsidR="009A4535" w:rsidRDefault="00000000">
      <w:pPr>
        <w:widowControl/>
        <w:jc w:val="left"/>
        <w:rPr>
          <w:rFonts w:ascii="Arial" w:eastAsia="Calibri" w:hAnsi="Arial" w:cs="Arial"/>
          <w:kern w:val="0"/>
          <w:sz w:val="22"/>
          <w:szCs w:val="22"/>
          <w:lang w:val="en-NZ" w:eastAsia="en-US"/>
        </w:rPr>
      </w:pPr>
      <w:r>
        <w:rPr>
          <w:rFonts w:ascii="Arial" w:eastAsia="Calibri" w:hAnsi="Arial" w:cs="Arial"/>
          <w:kern w:val="0"/>
          <w:sz w:val="22"/>
          <w:szCs w:val="22"/>
          <w:lang w:val="en-NZ" w:eastAsia="en-US"/>
        </w:rPr>
        <w:t xml:space="preserve">Randomized, double-blind, controlled clinical trials were conducted in individuals with overweight/obesity and those with metabolic dysfunction–associated </w:t>
      </w:r>
      <w:proofErr w:type="spellStart"/>
      <w:r>
        <w:rPr>
          <w:rFonts w:ascii="Arial" w:eastAsia="Calibri" w:hAnsi="Arial" w:cs="Arial"/>
          <w:kern w:val="0"/>
          <w:sz w:val="22"/>
          <w:szCs w:val="22"/>
          <w:lang w:val="en-NZ" w:eastAsia="en-US"/>
        </w:rPr>
        <w:t>steatotic</w:t>
      </w:r>
      <w:proofErr w:type="spellEnd"/>
      <w:r>
        <w:rPr>
          <w:rFonts w:ascii="Arial" w:eastAsia="Calibri" w:hAnsi="Arial" w:cs="Arial"/>
          <w:kern w:val="0"/>
          <w:sz w:val="22"/>
          <w:szCs w:val="22"/>
          <w:lang w:val="en-NZ" w:eastAsia="en-US"/>
        </w:rPr>
        <w:t xml:space="preserve"> liver disease (MASLD). Participants in the intervention group received </w:t>
      </w:r>
      <w:r>
        <w:rPr>
          <w:rFonts w:ascii="Arial" w:eastAsia="宋体" w:hAnsi="Arial" w:cs="Arial"/>
          <w:kern w:val="0"/>
          <w:sz w:val="22"/>
          <w:szCs w:val="22"/>
        </w:rPr>
        <w:t>RS</w:t>
      </w:r>
      <w:r>
        <w:rPr>
          <w:rFonts w:ascii="Arial" w:eastAsia="Calibri" w:hAnsi="Arial" w:cs="Arial"/>
          <w:kern w:val="0"/>
          <w:sz w:val="22"/>
          <w:szCs w:val="22"/>
          <w:lang w:val="en-NZ" w:eastAsia="en-US"/>
        </w:rPr>
        <w:t>, while the control group received isocaloric corn starch.</w:t>
      </w:r>
      <w:r>
        <w:rPr>
          <w:rFonts w:ascii="Arial" w:eastAsia="宋体" w:hAnsi="Arial" w:cs="Arial"/>
          <w:kern w:val="0"/>
          <w:sz w:val="22"/>
          <w:szCs w:val="22"/>
        </w:rPr>
        <w:t xml:space="preserve"> Clinical phenotypes were assessed before and after intervention.</w:t>
      </w:r>
      <w:r>
        <w:rPr>
          <w:rFonts w:ascii="Arial" w:eastAsia="Calibri" w:hAnsi="Arial" w:cs="Arial"/>
          <w:kern w:val="0"/>
          <w:sz w:val="22"/>
          <w:szCs w:val="22"/>
          <w:lang w:val="en-NZ" w:eastAsia="en-US"/>
        </w:rPr>
        <w:t xml:space="preserve"> </w:t>
      </w:r>
      <w:proofErr w:type="spellStart"/>
      <w:r>
        <w:rPr>
          <w:rFonts w:ascii="Arial" w:eastAsia="Calibri" w:hAnsi="Arial" w:cs="Arial"/>
          <w:kern w:val="0"/>
          <w:sz w:val="22"/>
          <w:szCs w:val="22"/>
          <w:lang w:val="en-NZ" w:eastAsia="en-US"/>
        </w:rPr>
        <w:t>Fecal</w:t>
      </w:r>
      <w:proofErr w:type="spellEnd"/>
      <w:r>
        <w:rPr>
          <w:rFonts w:ascii="Arial" w:eastAsia="Calibri" w:hAnsi="Arial" w:cs="Arial"/>
          <w:kern w:val="0"/>
          <w:sz w:val="22"/>
          <w:szCs w:val="22"/>
          <w:lang w:val="en-NZ" w:eastAsia="en-US"/>
        </w:rPr>
        <w:t xml:space="preserve"> and serum samples were collected for m</w:t>
      </w:r>
      <w:proofErr w:type="spellStart"/>
      <w:r>
        <w:rPr>
          <w:rFonts w:ascii="Arial" w:eastAsia="宋体" w:hAnsi="Arial" w:cs="Arial"/>
          <w:kern w:val="0"/>
          <w:sz w:val="22"/>
          <w:szCs w:val="22"/>
        </w:rPr>
        <w:t>ulti</w:t>
      </w:r>
      <w:proofErr w:type="spellEnd"/>
      <w:r>
        <w:rPr>
          <w:rFonts w:ascii="Arial" w:eastAsia="宋体" w:hAnsi="Arial" w:cs="Arial"/>
          <w:kern w:val="0"/>
          <w:sz w:val="22"/>
          <w:szCs w:val="22"/>
        </w:rPr>
        <w:t xml:space="preserve">-omics </w:t>
      </w:r>
      <w:r>
        <w:rPr>
          <w:rFonts w:ascii="Arial" w:eastAsia="Calibri" w:hAnsi="Arial" w:cs="Arial"/>
          <w:kern w:val="0"/>
          <w:sz w:val="22"/>
          <w:szCs w:val="22"/>
          <w:lang w:val="en-NZ" w:eastAsia="en-US"/>
        </w:rPr>
        <w:t>analyses. Potential mechanisms were</w:t>
      </w:r>
      <w:r>
        <w:rPr>
          <w:rFonts w:ascii="Arial" w:eastAsia="宋体" w:hAnsi="Arial" w:cs="Arial"/>
          <w:kern w:val="0"/>
          <w:sz w:val="22"/>
          <w:szCs w:val="22"/>
        </w:rPr>
        <w:t xml:space="preserve"> </w:t>
      </w:r>
      <w:r>
        <w:rPr>
          <w:rFonts w:ascii="Arial" w:eastAsia="Calibri" w:hAnsi="Arial" w:cs="Arial"/>
          <w:kern w:val="0"/>
          <w:sz w:val="22"/>
          <w:szCs w:val="22"/>
          <w:lang w:val="en-NZ" w:eastAsia="en-US"/>
        </w:rPr>
        <w:t xml:space="preserve">investigated using </w:t>
      </w:r>
      <w:proofErr w:type="spellStart"/>
      <w:r>
        <w:rPr>
          <w:rFonts w:ascii="Arial" w:eastAsia="Calibri" w:hAnsi="Arial" w:cs="Arial"/>
          <w:kern w:val="0"/>
          <w:sz w:val="22"/>
          <w:szCs w:val="22"/>
          <w:lang w:val="en-NZ" w:eastAsia="en-US"/>
        </w:rPr>
        <w:t>fecal</w:t>
      </w:r>
      <w:proofErr w:type="spellEnd"/>
      <w:r>
        <w:rPr>
          <w:rFonts w:ascii="Arial" w:eastAsia="Calibri" w:hAnsi="Arial" w:cs="Arial"/>
          <w:kern w:val="0"/>
          <w:sz w:val="22"/>
          <w:szCs w:val="22"/>
          <w:lang w:val="en-NZ" w:eastAsia="en-US"/>
        </w:rPr>
        <w:t xml:space="preserve"> microbiota transplantation, </w:t>
      </w:r>
      <w:proofErr w:type="spellStart"/>
      <w:r>
        <w:rPr>
          <w:rFonts w:ascii="Arial" w:eastAsia="Calibri" w:hAnsi="Arial" w:cs="Arial"/>
          <w:kern w:val="0"/>
          <w:sz w:val="22"/>
          <w:szCs w:val="22"/>
          <w:lang w:val="en-NZ" w:eastAsia="en-US"/>
        </w:rPr>
        <w:t>monocolonization</w:t>
      </w:r>
      <w:proofErr w:type="spellEnd"/>
      <w:r>
        <w:rPr>
          <w:rFonts w:ascii="Arial" w:eastAsia="Calibri" w:hAnsi="Arial" w:cs="Arial"/>
          <w:kern w:val="0"/>
          <w:sz w:val="22"/>
          <w:szCs w:val="22"/>
          <w:lang w:val="en-NZ" w:eastAsia="en-US"/>
        </w:rPr>
        <w:t xml:space="preserve">, and </w:t>
      </w:r>
      <w:r>
        <w:rPr>
          <w:rFonts w:ascii="Arial" w:eastAsia="Calibri" w:hAnsi="Arial" w:cs="Arial"/>
          <w:i/>
          <w:iCs/>
          <w:kern w:val="0"/>
          <w:sz w:val="22"/>
          <w:szCs w:val="22"/>
          <w:lang w:val="en-NZ" w:eastAsia="en-US"/>
        </w:rPr>
        <w:t>in vitro</w:t>
      </w:r>
      <w:r>
        <w:rPr>
          <w:rFonts w:ascii="Arial" w:eastAsia="Calibri" w:hAnsi="Arial" w:cs="Arial"/>
          <w:kern w:val="0"/>
          <w:sz w:val="22"/>
          <w:szCs w:val="22"/>
          <w:lang w:val="en-NZ" w:eastAsia="en-US"/>
        </w:rPr>
        <w:t xml:space="preserve"> cell experiments. In the MASLD cohort, efficacy was assessed by changes in intrahepatic triglyceride content</w:t>
      </w:r>
      <w:r>
        <w:rPr>
          <w:rFonts w:ascii="Arial" w:eastAsia="宋体" w:hAnsi="Arial" w:cs="Arial"/>
          <w:kern w:val="0"/>
          <w:sz w:val="22"/>
          <w:szCs w:val="22"/>
        </w:rPr>
        <w:t xml:space="preserve"> (IHTC).</w:t>
      </w:r>
      <w:r>
        <w:rPr>
          <w:rFonts w:ascii="Arial" w:eastAsia="Calibri" w:hAnsi="Arial" w:cs="Arial"/>
          <w:kern w:val="0"/>
          <w:sz w:val="22"/>
          <w:szCs w:val="22"/>
          <w:lang w:val="en-NZ" w:eastAsia="en-US"/>
        </w:rPr>
        <w:t xml:space="preserve"> </w:t>
      </w:r>
      <w:r>
        <w:rPr>
          <w:rFonts w:ascii="Arial" w:eastAsia="宋体" w:hAnsi="Arial" w:cs="Arial"/>
          <w:kern w:val="0"/>
          <w:sz w:val="22"/>
          <w:szCs w:val="22"/>
        </w:rPr>
        <w:t>P</w:t>
      </w:r>
      <w:proofErr w:type="spellStart"/>
      <w:r>
        <w:rPr>
          <w:rFonts w:ascii="Arial" w:eastAsia="Calibri" w:hAnsi="Arial" w:cs="Arial"/>
          <w:kern w:val="0"/>
          <w:sz w:val="22"/>
          <w:szCs w:val="22"/>
          <w:lang w:val="en-NZ" w:eastAsia="en-US"/>
        </w:rPr>
        <w:t>articipants</w:t>
      </w:r>
      <w:proofErr w:type="spellEnd"/>
      <w:r>
        <w:rPr>
          <w:rFonts w:ascii="Arial" w:eastAsia="Calibri" w:hAnsi="Arial" w:cs="Arial"/>
          <w:kern w:val="0"/>
          <w:sz w:val="22"/>
          <w:szCs w:val="22"/>
          <w:lang w:val="en-NZ" w:eastAsia="en-US"/>
        </w:rPr>
        <w:t xml:space="preserve"> were stratified into high and low</w:t>
      </w:r>
      <w:r>
        <w:rPr>
          <w:rFonts w:ascii="Arial" w:eastAsia="宋体" w:hAnsi="Arial" w:cs="Arial"/>
          <w:kern w:val="0"/>
          <w:sz w:val="22"/>
          <w:szCs w:val="22"/>
        </w:rPr>
        <w:t xml:space="preserve"> </w:t>
      </w:r>
      <w:proofErr w:type="spellStart"/>
      <w:r>
        <w:rPr>
          <w:rFonts w:ascii="Arial" w:eastAsia="Calibri" w:hAnsi="Arial" w:cs="Arial"/>
          <w:kern w:val="0"/>
          <w:sz w:val="22"/>
          <w:szCs w:val="22"/>
          <w:lang w:val="en-NZ" w:eastAsia="en-US"/>
        </w:rPr>
        <w:t>respon</w:t>
      </w:r>
      <w:r>
        <w:rPr>
          <w:rFonts w:ascii="Arial" w:eastAsia="宋体" w:hAnsi="Arial" w:cs="Arial"/>
          <w:kern w:val="0"/>
          <w:sz w:val="22"/>
          <w:szCs w:val="22"/>
        </w:rPr>
        <w:t>ders</w:t>
      </w:r>
      <w:proofErr w:type="spellEnd"/>
      <w:r>
        <w:rPr>
          <w:rFonts w:ascii="Arial" w:eastAsia="Calibri" w:hAnsi="Arial" w:cs="Arial"/>
          <w:kern w:val="0"/>
          <w:sz w:val="22"/>
          <w:szCs w:val="22"/>
          <w:lang w:val="en-NZ" w:eastAsia="en-US"/>
        </w:rPr>
        <w:t xml:space="preserve">, and multi-omics data were used to explore the </w:t>
      </w:r>
      <w:r>
        <w:rPr>
          <w:rFonts w:ascii="Arial" w:eastAsia="宋体" w:hAnsi="Arial" w:cs="Arial"/>
          <w:kern w:val="0"/>
          <w:sz w:val="22"/>
          <w:szCs w:val="22"/>
        </w:rPr>
        <w:t>p</w:t>
      </w:r>
      <w:proofErr w:type="spellStart"/>
      <w:r>
        <w:rPr>
          <w:rFonts w:ascii="Arial" w:eastAsia="Calibri" w:hAnsi="Arial" w:cs="Arial"/>
          <w:kern w:val="0"/>
          <w:sz w:val="22"/>
          <w:szCs w:val="22"/>
          <w:lang w:val="en-NZ" w:eastAsia="en-US"/>
        </w:rPr>
        <w:t>otential</w:t>
      </w:r>
      <w:proofErr w:type="spellEnd"/>
      <w:r>
        <w:rPr>
          <w:rFonts w:ascii="Arial" w:eastAsia="Calibri" w:hAnsi="Arial" w:cs="Arial"/>
          <w:kern w:val="0"/>
          <w:sz w:val="22"/>
          <w:szCs w:val="22"/>
          <w:lang w:val="en-NZ" w:eastAsia="en-US"/>
        </w:rPr>
        <w:t xml:space="preserve"> mechanisms of heterogeneous responses.</w:t>
      </w:r>
    </w:p>
    <w:p w14:paraId="4470241F" w14:textId="77777777" w:rsidR="009A4535" w:rsidRDefault="009A4535">
      <w:pPr>
        <w:widowControl/>
        <w:jc w:val="left"/>
        <w:rPr>
          <w:rFonts w:ascii="Arial" w:eastAsia="Calibri" w:hAnsi="Arial" w:cs="Arial"/>
          <w:kern w:val="0"/>
          <w:sz w:val="22"/>
          <w:szCs w:val="22"/>
          <w:lang w:val="en-NZ" w:eastAsia="en-US"/>
        </w:rPr>
      </w:pPr>
    </w:p>
    <w:p w14:paraId="49E41FAD" w14:textId="77777777" w:rsidR="009A4535" w:rsidRDefault="00000000">
      <w:pPr>
        <w:widowControl/>
        <w:jc w:val="left"/>
        <w:rPr>
          <w:rFonts w:ascii="Arial" w:eastAsia="Calibri" w:hAnsi="Arial" w:cs="Arial"/>
          <w:kern w:val="0"/>
          <w:sz w:val="22"/>
          <w:szCs w:val="22"/>
          <w:lang w:val="en-NZ" w:eastAsia="en-US"/>
        </w:rPr>
      </w:pPr>
      <w:r>
        <w:rPr>
          <w:rFonts w:ascii="Arial" w:eastAsia="Calibri" w:hAnsi="Arial" w:cs="Arial"/>
          <w:kern w:val="0"/>
          <w:sz w:val="22"/>
          <w:szCs w:val="22"/>
          <w:lang w:val="en-NZ" w:eastAsia="en-US"/>
        </w:rPr>
        <w:t>Results:</w:t>
      </w:r>
    </w:p>
    <w:p w14:paraId="056E4F4D" w14:textId="77777777" w:rsidR="009A4535" w:rsidRDefault="00000000">
      <w:pPr>
        <w:widowControl/>
        <w:jc w:val="left"/>
        <w:rPr>
          <w:rFonts w:ascii="Arial" w:eastAsia="Calibri" w:hAnsi="Arial" w:cs="Arial"/>
          <w:kern w:val="0"/>
          <w:sz w:val="22"/>
          <w:szCs w:val="22"/>
          <w:lang w:val="en-NZ" w:eastAsia="en-US"/>
        </w:rPr>
      </w:pPr>
      <w:r>
        <w:rPr>
          <w:rFonts w:ascii="Arial" w:eastAsia="Calibri" w:hAnsi="Arial" w:cs="Arial"/>
          <w:kern w:val="0"/>
          <w:sz w:val="22"/>
          <w:szCs w:val="22"/>
          <w:lang w:val="en-NZ" w:eastAsia="en-US"/>
        </w:rPr>
        <w:t xml:space="preserve">Compared with the control group, </w:t>
      </w:r>
      <w:r>
        <w:rPr>
          <w:rFonts w:ascii="Arial" w:eastAsia="宋体" w:hAnsi="Arial" w:cs="Arial"/>
          <w:kern w:val="0"/>
          <w:sz w:val="22"/>
          <w:szCs w:val="22"/>
        </w:rPr>
        <w:t>RS</w:t>
      </w:r>
      <w:r>
        <w:rPr>
          <w:rFonts w:ascii="Arial" w:eastAsia="Calibri" w:hAnsi="Arial" w:cs="Arial"/>
          <w:kern w:val="0"/>
          <w:sz w:val="22"/>
          <w:szCs w:val="22"/>
          <w:lang w:val="en-NZ" w:eastAsia="en-US"/>
        </w:rPr>
        <w:t xml:space="preserve"> intervention significantly reduced body </w:t>
      </w:r>
      <w:r>
        <w:rPr>
          <w:rFonts w:ascii="Arial" w:eastAsia="宋体" w:hAnsi="Arial" w:cs="Arial"/>
          <w:kern w:val="0"/>
          <w:sz w:val="22"/>
          <w:szCs w:val="22"/>
        </w:rPr>
        <w:t>weight</w:t>
      </w:r>
      <w:r>
        <w:rPr>
          <w:rFonts w:ascii="Arial" w:eastAsia="Calibri" w:hAnsi="Arial" w:cs="Arial"/>
          <w:kern w:val="0"/>
          <w:sz w:val="22"/>
          <w:szCs w:val="22"/>
          <w:lang w:val="en-NZ" w:eastAsia="en-US"/>
        </w:rPr>
        <w:t xml:space="preserve"> and </w:t>
      </w:r>
      <w:r>
        <w:rPr>
          <w:rFonts w:ascii="Arial" w:eastAsia="宋体" w:hAnsi="Arial" w:cs="Arial"/>
          <w:kern w:val="0"/>
          <w:sz w:val="22"/>
          <w:szCs w:val="22"/>
        </w:rPr>
        <w:t>IHTC</w:t>
      </w:r>
      <w:r>
        <w:rPr>
          <w:rFonts w:ascii="Arial" w:eastAsia="Calibri" w:hAnsi="Arial" w:cs="Arial"/>
          <w:kern w:val="0"/>
          <w:sz w:val="22"/>
          <w:szCs w:val="22"/>
          <w:lang w:val="en-NZ" w:eastAsia="en-US"/>
        </w:rPr>
        <w:t>, while improving insulin sensitivity. Integrated multi-omics and experimental validation</w:t>
      </w:r>
      <w:r>
        <w:rPr>
          <w:rFonts w:ascii="Arial" w:eastAsia="宋体" w:hAnsi="Arial" w:cs="Arial"/>
          <w:kern w:val="0"/>
          <w:sz w:val="22"/>
          <w:szCs w:val="22"/>
        </w:rPr>
        <w:t xml:space="preserve"> </w:t>
      </w:r>
      <w:r>
        <w:rPr>
          <w:rFonts w:ascii="Arial" w:eastAsia="Calibri" w:hAnsi="Arial" w:cs="Arial"/>
          <w:kern w:val="0"/>
          <w:sz w:val="22"/>
          <w:szCs w:val="22"/>
          <w:lang w:val="en-NZ" w:eastAsia="en-US"/>
        </w:rPr>
        <w:t xml:space="preserve">demonstrated that </w:t>
      </w:r>
      <w:r>
        <w:rPr>
          <w:rFonts w:ascii="Arial" w:eastAsia="宋体" w:hAnsi="Arial" w:cs="Arial"/>
          <w:kern w:val="0"/>
          <w:sz w:val="22"/>
          <w:szCs w:val="22"/>
        </w:rPr>
        <w:t>RS</w:t>
      </w:r>
      <w:r>
        <w:rPr>
          <w:rFonts w:ascii="Arial" w:eastAsia="Calibri" w:hAnsi="Arial" w:cs="Arial"/>
          <w:kern w:val="0"/>
          <w:sz w:val="22"/>
          <w:szCs w:val="22"/>
          <w:lang w:val="en-NZ" w:eastAsia="en-US"/>
        </w:rPr>
        <w:t xml:space="preserve"> reshaped </w:t>
      </w:r>
      <w:r>
        <w:rPr>
          <w:rFonts w:ascii="Arial" w:eastAsia="宋体" w:hAnsi="Arial" w:cs="Arial" w:hint="eastAsia"/>
          <w:kern w:val="0"/>
          <w:sz w:val="22"/>
          <w:szCs w:val="22"/>
        </w:rPr>
        <w:t xml:space="preserve">the </w:t>
      </w:r>
      <w:r>
        <w:rPr>
          <w:rFonts w:ascii="Arial" w:eastAsia="Calibri" w:hAnsi="Arial" w:cs="Arial"/>
          <w:kern w:val="0"/>
          <w:sz w:val="22"/>
          <w:szCs w:val="22"/>
          <w:lang w:val="en-NZ" w:eastAsia="en-US"/>
        </w:rPr>
        <w:t>gut micro</w:t>
      </w:r>
      <w:r>
        <w:rPr>
          <w:rFonts w:ascii="Arial" w:eastAsia="宋体" w:hAnsi="Arial" w:cs="Arial"/>
          <w:kern w:val="0"/>
          <w:sz w:val="22"/>
          <w:szCs w:val="22"/>
        </w:rPr>
        <w:t>biota</w:t>
      </w:r>
      <w:r>
        <w:rPr>
          <w:rFonts w:ascii="Arial" w:eastAsia="Calibri" w:hAnsi="Arial" w:cs="Arial"/>
          <w:kern w:val="0"/>
          <w:sz w:val="22"/>
          <w:szCs w:val="22"/>
          <w:lang w:val="en-NZ" w:eastAsia="en-US"/>
        </w:rPr>
        <w:t xml:space="preserve">, including increasing the abundance of </w:t>
      </w:r>
      <w:r>
        <w:rPr>
          <w:rFonts w:ascii="Arial" w:eastAsia="Calibri" w:hAnsi="Arial" w:cs="Arial"/>
          <w:i/>
          <w:iCs/>
          <w:kern w:val="0"/>
          <w:sz w:val="22"/>
          <w:szCs w:val="22"/>
          <w:lang w:val="en-NZ" w:eastAsia="en-US"/>
        </w:rPr>
        <w:t xml:space="preserve">Bifidobacterium </w:t>
      </w:r>
      <w:proofErr w:type="spellStart"/>
      <w:r>
        <w:rPr>
          <w:rFonts w:ascii="Arial" w:eastAsia="Calibri" w:hAnsi="Arial" w:cs="Arial"/>
          <w:i/>
          <w:iCs/>
          <w:kern w:val="0"/>
          <w:sz w:val="22"/>
          <w:szCs w:val="22"/>
          <w:lang w:val="en-NZ" w:eastAsia="en-US"/>
        </w:rPr>
        <w:t>adolescentis</w:t>
      </w:r>
      <w:proofErr w:type="spellEnd"/>
      <w:r>
        <w:rPr>
          <w:rFonts w:ascii="Arial" w:eastAsia="Calibri" w:hAnsi="Arial" w:cs="Arial"/>
          <w:kern w:val="0"/>
          <w:sz w:val="22"/>
          <w:szCs w:val="22"/>
          <w:lang w:val="en-NZ" w:eastAsia="en-US"/>
        </w:rPr>
        <w:t xml:space="preserve">, thereby enhancing FGF21 sensitivity in adipose tissue and upregulating intestinal ANGPTL4 </w:t>
      </w:r>
      <w:r>
        <w:rPr>
          <w:rFonts w:ascii="Arial" w:eastAsia="宋体" w:hAnsi="Arial" w:cs="Arial"/>
          <w:kern w:val="0"/>
          <w:sz w:val="22"/>
          <w:szCs w:val="22"/>
        </w:rPr>
        <w:t>expression</w:t>
      </w:r>
      <w:r>
        <w:rPr>
          <w:rFonts w:ascii="Arial" w:eastAsia="Calibri" w:hAnsi="Arial" w:cs="Arial"/>
          <w:kern w:val="0"/>
          <w:sz w:val="22"/>
          <w:szCs w:val="22"/>
          <w:lang w:val="en-NZ" w:eastAsia="en-US"/>
        </w:rPr>
        <w:t xml:space="preserve"> to inhibit lipid absorption. </w:t>
      </w:r>
      <w:r>
        <w:rPr>
          <w:rFonts w:ascii="Arial" w:eastAsia="宋体" w:hAnsi="Arial" w:cs="Arial"/>
          <w:kern w:val="0"/>
          <w:sz w:val="22"/>
          <w:szCs w:val="22"/>
        </w:rPr>
        <w:t>RS also</w:t>
      </w:r>
      <w:r>
        <w:rPr>
          <w:rFonts w:ascii="Arial" w:eastAsia="Calibri" w:hAnsi="Arial" w:cs="Arial"/>
          <w:kern w:val="0"/>
          <w:sz w:val="22"/>
          <w:szCs w:val="22"/>
          <w:lang w:val="en-NZ" w:eastAsia="en-US"/>
        </w:rPr>
        <w:t xml:space="preserve"> reduced</w:t>
      </w:r>
      <w:r>
        <w:rPr>
          <w:rFonts w:ascii="Arial" w:eastAsia="宋体" w:hAnsi="Arial" w:cs="Arial"/>
          <w:kern w:val="0"/>
          <w:sz w:val="22"/>
          <w:szCs w:val="22"/>
        </w:rPr>
        <w:t xml:space="preserve"> </w:t>
      </w:r>
      <w:r>
        <w:rPr>
          <w:rFonts w:ascii="Arial" w:eastAsia="宋体" w:hAnsi="Arial" w:cs="Arial"/>
          <w:i/>
          <w:iCs/>
          <w:kern w:val="0"/>
          <w:sz w:val="22"/>
          <w:szCs w:val="22"/>
        </w:rPr>
        <w:t xml:space="preserve">Bacteroides </w:t>
      </w:r>
      <w:proofErr w:type="spellStart"/>
      <w:r>
        <w:rPr>
          <w:rFonts w:ascii="Arial" w:eastAsia="宋体" w:hAnsi="Arial" w:cs="Arial"/>
          <w:i/>
          <w:iCs/>
          <w:kern w:val="0"/>
          <w:sz w:val="22"/>
          <w:szCs w:val="22"/>
        </w:rPr>
        <w:t>stercoris</w:t>
      </w:r>
      <w:proofErr w:type="spellEnd"/>
      <w:r>
        <w:rPr>
          <w:rFonts w:ascii="Arial" w:eastAsia="Calibri" w:hAnsi="Arial" w:cs="Arial"/>
          <w:kern w:val="0"/>
          <w:sz w:val="22"/>
          <w:szCs w:val="22"/>
          <w:lang w:val="en-NZ" w:eastAsia="en-US"/>
        </w:rPr>
        <w:t xml:space="preserve"> and microbially derived branched-chain amino acid</w:t>
      </w:r>
      <w:r>
        <w:rPr>
          <w:rFonts w:ascii="Arial" w:eastAsia="宋体" w:hAnsi="Arial" w:cs="Arial"/>
          <w:kern w:val="0"/>
          <w:sz w:val="22"/>
          <w:szCs w:val="22"/>
        </w:rPr>
        <w:t>s</w:t>
      </w:r>
      <w:r>
        <w:rPr>
          <w:rFonts w:ascii="Arial" w:eastAsia="Calibri" w:hAnsi="Arial" w:cs="Arial"/>
          <w:kern w:val="0"/>
          <w:sz w:val="22"/>
          <w:szCs w:val="22"/>
          <w:lang w:val="en-NZ" w:eastAsia="en-US"/>
        </w:rPr>
        <w:t>, thereby attenuating hepatic fat accumulation. Post</w:t>
      </w:r>
      <w:r>
        <w:rPr>
          <w:rFonts w:ascii="Arial" w:eastAsia="宋体" w:hAnsi="Arial" w:cs="Arial"/>
          <w:kern w:val="0"/>
          <w:sz w:val="22"/>
          <w:szCs w:val="22"/>
        </w:rPr>
        <w:t>-</w:t>
      </w:r>
      <w:r>
        <w:rPr>
          <w:rFonts w:ascii="Arial" w:eastAsia="Calibri" w:hAnsi="Arial" w:cs="Arial"/>
          <w:kern w:val="0"/>
          <w:sz w:val="22"/>
          <w:szCs w:val="22"/>
          <w:lang w:val="en-NZ" w:eastAsia="en-US"/>
        </w:rPr>
        <w:t xml:space="preserve">hoc analyses further indicated that differences in baseline gut microbiota mediated </w:t>
      </w:r>
      <w:r>
        <w:rPr>
          <w:rFonts w:ascii="Arial" w:eastAsia="宋体" w:hAnsi="Arial" w:cs="Arial"/>
          <w:kern w:val="0"/>
          <w:sz w:val="22"/>
          <w:szCs w:val="22"/>
        </w:rPr>
        <w:t xml:space="preserve">the </w:t>
      </w:r>
      <w:r>
        <w:rPr>
          <w:rFonts w:ascii="Arial" w:eastAsia="Calibri" w:hAnsi="Arial" w:cs="Arial"/>
          <w:kern w:val="0"/>
          <w:sz w:val="22"/>
          <w:szCs w:val="22"/>
          <w:lang w:val="en-NZ" w:eastAsia="en-US"/>
        </w:rPr>
        <w:t>efficacy</w:t>
      </w:r>
      <w:r>
        <w:rPr>
          <w:rFonts w:ascii="Arial" w:eastAsia="宋体" w:hAnsi="Arial" w:cs="Arial"/>
          <w:kern w:val="0"/>
          <w:sz w:val="22"/>
          <w:szCs w:val="22"/>
        </w:rPr>
        <w:t xml:space="preserve"> </w:t>
      </w:r>
      <w:r>
        <w:rPr>
          <w:rFonts w:ascii="Arial" w:eastAsia="Calibri" w:hAnsi="Arial" w:cs="Arial"/>
          <w:kern w:val="0"/>
          <w:sz w:val="22"/>
          <w:szCs w:val="22"/>
          <w:lang w:val="en-NZ" w:eastAsia="en-US"/>
        </w:rPr>
        <w:t>heterogeneity.</w:t>
      </w:r>
    </w:p>
    <w:p w14:paraId="1F409EC8" w14:textId="77777777" w:rsidR="009A4535" w:rsidRDefault="009A4535">
      <w:pPr>
        <w:widowControl/>
        <w:jc w:val="left"/>
        <w:rPr>
          <w:rFonts w:ascii="Arial" w:eastAsia="Calibri" w:hAnsi="Arial" w:cs="Arial"/>
          <w:kern w:val="0"/>
          <w:sz w:val="22"/>
          <w:szCs w:val="22"/>
          <w:lang w:val="en-NZ" w:eastAsia="en-US"/>
        </w:rPr>
      </w:pPr>
    </w:p>
    <w:p w14:paraId="34A85EFB" w14:textId="77777777" w:rsidR="009A4535" w:rsidRDefault="00000000">
      <w:pPr>
        <w:widowControl/>
        <w:jc w:val="left"/>
        <w:rPr>
          <w:rFonts w:ascii="Arial" w:eastAsia="Calibri" w:hAnsi="Arial" w:cs="Arial"/>
          <w:kern w:val="0"/>
          <w:sz w:val="22"/>
          <w:szCs w:val="22"/>
          <w:lang w:val="en-NZ" w:eastAsia="en-US"/>
        </w:rPr>
      </w:pPr>
      <w:r>
        <w:rPr>
          <w:rFonts w:ascii="Arial" w:eastAsia="Calibri" w:hAnsi="Arial" w:cs="Arial"/>
          <w:kern w:val="0"/>
          <w:sz w:val="22"/>
          <w:szCs w:val="22"/>
          <w:lang w:val="en-NZ" w:eastAsia="en-US"/>
        </w:rPr>
        <w:t>Conclusion:</w:t>
      </w:r>
    </w:p>
    <w:p w14:paraId="6C5A7993" w14:textId="77777777" w:rsidR="009A4535" w:rsidRDefault="00000000">
      <w:pPr>
        <w:widowControl/>
        <w:jc w:val="left"/>
        <w:rPr>
          <w:rFonts w:ascii="Arial" w:eastAsia="Calibri" w:hAnsi="Arial" w:cs="Arial"/>
          <w:kern w:val="0"/>
          <w:sz w:val="22"/>
          <w:szCs w:val="22"/>
          <w:lang w:val="en-NZ" w:eastAsia="en-US"/>
        </w:rPr>
      </w:pPr>
      <w:r>
        <w:rPr>
          <w:rFonts w:ascii="Arial" w:eastAsia="Calibri" w:hAnsi="Arial" w:cs="Arial"/>
          <w:kern w:val="0"/>
          <w:sz w:val="22"/>
          <w:szCs w:val="22"/>
          <w:lang w:val="en-NZ" w:eastAsia="en-US"/>
        </w:rPr>
        <w:t xml:space="preserve">This study shows that </w:t>
      </w:r>
      <w:r>
        <w:rPr>
          <w:rFonts w:ascii="Arial" w:eastAsia="宋体" w:hAnsi="Arial" w:cs="Arial"/>
          <w:kern w:val="0"/>
          <w:sz w:val="22"/>
          <w:szCs w:val="22"/>
        </w:rPr>
        <w:t>RS</w:t>
      </w:r>
      <w:r>
        <w:rPr>
          <w:rFonts w:ascii="Arial" w:eastAsia="Calibri" w:hAnsi="Arial" w:cs="Arial"/>
          <w:kern w:val="0"/>
          <w:sz w:val="22"/>
          <w:szCs w:val="22"/>
          <w:lang w:val="en-NZ" w:eastAsia="en-US"/>
        </w:rPr>
        <w:t xml:space="preserve"> can improve metabolic </w:t>
      </w:r>
      <w:r>
        <w:rPr>
          <w:rFonts w:ascii="Arial" w:eastAsia="宋体" w:hAnsi="Arial" w:cs="Arial"/>
          <w:kern w:val="0"/>
          <w:sz w:val="22"/>
          <w:szCs w:val="22"/>
        </w:rPr>
        <w:t>health</w:t>
      </w:r>
      <w:r>
        <w:rPr>
          <w:rFonts w:ascii="Arial" w:eastAsia="Calibri" w:hAnsi="Arial" w:cs="Arial"/>
          <w:kern w:val="0"/>
          <w:sz w:val="22"/>
          <w:szCs w:val="22"/>
          <w:lang w:val="en-NZ" w:eastAsia="en-US"/>
        </w:rPr>
        <w:t xml:space="preserve"> by targeting the gut microbiome. Increasing RS intake to optimize dietary carbohydrate composition may represent an effective, affordable, and sustainable intervention strategy. Moreover, elucidating response heterogeneity provides a new theoretical basis for personalized dietary interventions in metabolic diseases.</w:t>
      </w:r>
    </w:p>
    <w:p w14:paraId="253C621E" w14:textId="77777777" w:rsidR="009A4535" w:rsidRDefault="009A4535">
      <w:pPr>
        <w:rPr>
          <w:rFonts w:ascii="Arial" w:hAnsi="Arial" w:cs="Arial"/>
          <w:sz w:val="22"/>
          <w:szCs w:val="22"/>
        </w:rPr>
      </w:pPr>
    </w:p>
    <w:sectPr w:rsidR="009A45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B522BF"/>
    <w:rsid w:val="00346B70"/>
    <w:rsid w:val="007B1D17"/>
    <w:rsid w:val="009A4535"/>
    <w:rsid w:val="00AE6EAC"/>
    <w:rsid w:val="0BB522BF"/>
    <w:rsid w:val="476A7D5C"/>
    <w:rsid w:val="672F7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BF77E6-D2E1-49D6-8B5A-E257E098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2154</Characters>
  <Application>Microsoft Office Word</Application>
  <DocSecurity>0</DocSecurity>
  <Lines>40</Lines>
  <Paragraphs>10</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陆钰唯</dc:creator>
  <cp:lastModifiedBy>Yuwei Lu</cp:lastModifiedBy>
  <cp:revision>2</cp:revision>
  <dcterms:created xsi:type="dcterms:W3CDTF">2026-02-19T06:53:00Z</dcterms:created>
  <dcterms:modified xsi:type="dcterms:W3CDTF">2026-02-19T06:53:00Z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22C26901B5AB4C71B6019FCD252178D3_11</vt:lpwstr>
  </property>
  <property fmtid="{D5CDD505-2E9C-101B-9397-08002B2CF9AE}" pid="4" name="KSOTemplateDocerSaveRecord">
    <vt:lpwstr>eyJoZGlkIjoiZDdmODJiMjZmNjhmMDZmYTM5NDNkOTUzOGY0MGFlOGUiLCJ1c2VySWQiOiIzMDkyOTI1OTgifQ==</vt:lpwstr>
  </property>
</Properties>
</file>