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A467B7" w14:paraId="5E79EE7E" w14:textId="77777777" w:rsidTr="00D13086">
        <w:tc>
          <w:tcPr>
            <w:tcW w:w="8640" w:type="dxa"/>
            <w:shd w:val="clear" w:color="auto" w:fill="F2F2F2" w:themeFill="background1" w:themeFillShade="F2"/>
          </w:tcPr>
          <w:p w14:paraId="010F3938" w14:textId="77777777" w:rsidR="00A467B7" w:rsidRPr="00A467B7" w:rsidRDefault="00A467B7" w:rsidP="00A467B7">
            <w:pPr>
              <w:pStyle w:val="NormalWeb"/>
              <w:spacing w:before="0" w:beforeAutospacing="0" w:after="0" w:afterAutospacing="0"/>
              <w:rPr>
                <w:rFonts w:ascii="Arial" w:eastAsiaTheme="minorEastAsia" w:hAnsi="Arial" w:cs="Arial"/>
                <w:bCs/>
                <w:i/>
                <w:iCs/>
                <w:sz w:val="22"/>
                <w:szCs w:val="22"/>
                <w:lang w:val="en-CA" w:eastAsia="zh-TW"/>
              </w:rPr>
            </w:pPr>
            <w:r w:rsidRPr="00A467B7">
              <w:rPr>
                <w:rFonts w:ascii="Arial" w:eastAsiaTheme="minorEastAsia" w:hAnsi="Arial" w:cs="Arial"/>
                <w:bCs/>
                <w:i/>
                <w:iCs/>
                <w:sz w:val="22"/>
                <w:szCs w:val="22"/>
                <w:lang w:val="en-CA" w:eastAsia="zh-TW"/>
              </w:rPr>
              <w:t>Wānanga/Talanoa/Dialogue or Workshop</w:t>
            </w:r>
          </w:p>
          <w:p w14:paraId="577AC057" w14:textId="3BE95283" w:rsidR="004A3628" w:rsidRPr="00A467B7" w:rsidRDefault="00AD4B38" w:rsidP="00A467B7">
            <w:pPr>
              <w:pStyle w:val="NormalWeb"/>
              <w:spacing w:before="0" w:beforeAutospacing="0" w:after="0" w:afterAutospacing="0"/>
              <w:rPr>
                <w:rFonts w:ascii="Arial" w:hAnsi="Arial" w:cs="Arial"/>
                <w:b/>
                <w:sz w:val="22"/>
                <w:szCs w:val="22"/>
              </w:rPr>
            </w:pPr>
            <w:r w:rsidRPr="00A467B7">
              <w:rPr>
                <w:rStyle w:val="Strong"/>
                <w:rFonts w:ascii="Arial" w:eastAsiaTheme="majorEastAsia" w:hAnsi="Arial" w:cs="Arial"/>
                <w:bCs w:val="0"/>
                <w:sz w:val="22"/>
                <w:szCs w:val="22"/>
              </w:rPr>
              <w:t>Toolkit Workshop:</w:t>
            </w:r>
            <w:r w:rsidRPr="00A467B7">
              <w:rPr>
                <w:rFonts w:ascii="Arial" w:hAnsi="Arial" w:cs="Arial"/>
                <w:b/>
                <w:sz w:val="22"/>
                <w:szCs w:val="22"/>
              </w:rPr>
              <w:t xml:space="preserve"> Design for Conservation: A Participatory Approach to Accelerating Climate Adaptation</w:t>
            </w:r>
          </w:p>
          <w:p w14:paraId="1B31BF05" w14:textId="77777777" w:rsidR="004A3628" w:rsidRPr="00A467B7" w:rsidRDefault="004A3628" w:rsidP="00A467B7">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6DFAF6E3" w14:textId="60CAE25C" w:rsidR="00F25302" w:rsidRDefault="00F25302" w:rsidP="00F25302">
            <w:pPr>
              <w:pStyle w:val="NormalWeb"/>
            </w:pPr>
            <w:r>
              <w:rPr>
                <w:rStyle w:val="Strong"/>
                <w:rFonts w:eastAsiaTheme="majorEastAsia"/>
              </w:rPr>
              <w:t>Overview:</w:t>
            </w:r>
            <w:r>
              <w:t xml:space="preserve"> This interactive workshop introduces the Design for Conservation (D4C) methodology as a participatory, adaptive, and culturally grounded approach to accelerating climate adaptation. By integrating technical, relational, and cultural dimensions, D4C fosters co-created solutions that honour multi-species perspectives and decolonial worldviews. Participants will engage in hands-on activities that enhance their capacity to design effective, equitable, and scalable adaptation strategies.</w:t>
            </w:r>
          </w:p>
          <w:p w14:paraId="4FDE50D5" w14:textId="77777777" w:rsidR="00F25302" w:rsidRDefault="00F25302" w:rsidP="00F25302">
            <w:pPr>
              <w:pStyle w:val="NormalWeb"/>
            </w:pPr>
            <w:r>
              <w:rPr>
                <w:rStyle w:val="Strong"/>
                <w:rFonts w:eastAsiaTheme="majorEastAsia"/>
              </w:rPr>
              <w:t>Objectives:</w:t>
            </w:r>
          </w:p>
          <w:p w14:paraId="1ECFEAA6" w14:textId="77777777" w:rsidR="00F25302" w:rsidRDefault="00F25302" w:rsidP="00F25302">
            <w:pPr>
              <w:pStyle w:val="NormalWeb"/>
              <w:numPr>
                <w:ilvl w:val="0"/>
                <w:numId w:val="2"/>
              </w:numPr>
            </w:pPr>
            <w:r>
              <w:rPr>
                <w:rStyle w:val="Strong"/>
                <w:rFonts w:eastAsiaTheme="majorEastAsia"/>
              </w:rPr>
              <w:t>Introduce the D4C Methodology</w:t>
            </w:r>
            <w:r>
              <w:t xml:space="preserve"> – Equip participants with a structured, five-step process for co-creating conservation solutions that integrate diverse knowledge systems.</w:t>
            </w:r>
          </w:p>
          <w:p w14:paraId="2969B208" w14:textId="77777777" w:rsidR="00F25302" w:rsidRDefault="00F25302" w:rsidP="00F25302">
            <w:pPr>
              <w:pStyle w:val="NormalWeb"/>
              <w:numPr>
                <w:ilvl w:val="0"/>
                <w:numId w:val="2"/>
              </w:numPr>
            </w:pPr>
            <w:r>
              <w:rPr>
                <w:rStyle w:val="Strong"/>
                <w:rFonts w:eastAsiaTheme="majorEastAsia"/>
              </w:rPr>
              <w:t>Enhance Facilitation Skills</w:t>
            </w:r>
            <w:r>
              <w:t xml:space="preserve"> – Provide tools for leading participatory, decolonial workshops that balance technical innovation with relational and cultural insights.</w:t>
            </w:r>
          </w:p>
          <w:p w14:paraId="56DF9A92" w14:textId="77777777" w:rsidR="00F25302" w:rsidRDefault="00F25302" w:rsidP="00F25302">
            <w:pPr>
              <w:pStyle w:val="NormalWeb"/>
              <w:numPr>
                <w:ilvl w:val="0"/>
                <w:numId w:val="2"/>
              </w:numPr>
            </w:pPr>
            <w:r>
              <w:rPr>
                <w:rStyle w:val="Strong"/>
                <w:rFonts w:eastAsiaTheme="majorEastAsia"/>
              </w:rPr>
              <w:t>Strengthen Adaptation Capacity</w:t>
            </w:r>
            <w:r>
              <w:t xml:space="preserve"> – Apply D4C to real-world climate challenges, fostering solutions that promote inclusion, social equity, and ecosystem resilience.</w:t>
            </w:r>
          </w:p>
          <w:p w14:paraId="5B39BFAF" w14:textId="77777777" w:rsidR="00F25302" w:rsidRDefault="00F25302" w:rsidP="00F25302">
            <w:pPr>
              <w:pStyle w:val="NormalWeb"/>
            </w:pPr>
            <w:r>
              <w:rPr>
                <w:rStyle w:val="Strong"/>
                <w:rFonts w:eastAsiaTheme="majorEastAsia"/>
              </w:rPr>
              <w:t>Target Audience:</w:t>
            </w:r>
            <w:r>
              <w:t xml:space="preserve"> This workshop is designed for researchers, policymakers, Indigenous and local knowledge holders, practitioners, civil society leaders, and private sector representatives working on climate adaptation, conservation, and sustainability.</w:t>
            </w:r>
          </w:p>
          <w:p w14:paraId="517B84F3" w14:textId="599BE148" w:rsidR="00F25302" w:rsidRDefault="00F25302" w:rsidP="00F25302">
            <w:pPr>
              <w:pStyle w:val="NormalWeb"/>
            </w:pPr>
            <w:r>
              <w:rPr>
                <w:rStyle w:val="Strong"/>
                <w:rFonts w:eastAsiaTheme="majorEastAsia"/>
              </w:rPr>
              <w:t>Methodology:</w:t>
            </w:r>
            <w:r>
              <w:t xml:space="preserve"> Participants will progress through the five stages of D4C—(Re)Connect, Understand, Propose and Validate, Plan for Impact, and Deploy Sustainably—using interactive tools that promote collaboration, creativity, and critical thinking. The session will feature storytelling, role-playing, and collective reflection to bridge diverse knowledge systems and accelerate adaptation strategies.</w:t>
            </w:r>
            <w:r w:rsidR="00B6047B">
              <w:t xml:space="preserve"> See more at </w:t>
            </w:r>
            <w:hyperlink r:id="rId8" w:history="1">
              <w:r w:rsidR="00B6047B" w:rsidRPr="00B6047B">
                <w:rPr>
                  <w:rStyle w:val="Hyperlink"/>
                </w:rPr>
                <w:t>www.design4conservation.com</w:t>
              </w:r>
            </w:hyperlink>
          </w:p>
          <w:p w14:paraId="0AA83918" w14:textId="77777777" w:rsidR="00F25302" w:rsidRDefault="00F25302" w:rsidP="00F25302">
            <w:pPr>
              <w:pStyle w:val="NormalWeb"/>
            </w:pPr>
            <w:r>
              <w:rPr>
                <w:rStyle w:val="Strong"/>
                <w:rFonts w:eastAsiaTheme="majorEastAsia"/>
              </w:rPr>
              <w:t>Workshop Agenda:</w:t>
            </w:r>
          </w:p>
          <w:p w14:paraId="72A306E3" w14:textId="5A583679" w:rsidR="00F25302" w:rsidRDefault="00F25302" w:rsidP="00F25302">
            <w:pPr>
              <w:pStyle w:val="NormalWeb"/>
              <w:numPr>
                <w:ilvl w:val="0"/>
                <w:numId w:val="3"/>
              </w:numPr>
            </w:pPr>
            <w:r>
              <w:rPr>
                <w:rStyle w:val="Strong"/>
                <w:rFonts w:eastAsiaTheme="majorEastAsia"/>
              </w:rPr>
              <w:t>Welcome &amp; Introduction to D4C</w:t>
            </w:r>
            <w:r>
              <w:t xml:space="preserve"> – Overview of methodology, objectives, and adaptation relevance.</w:t>
            </w:r>
          </w:p>
          <w:p w14:paraId="734C2301" w14:textId="77E29B9A" w:rsidR="00F25302" w:rsidRDefault="00F25302" w:rsidP="00F25302">
            <w:pPr>
              <w:pStyle w:val="NormalWeb"/>
              <w:numPr>
                <w:ilvl w:val="0"/>
                <w:numId w:val="3"/>
              </w:numPr>
            </w:pPr>
            <w:r>
              <w:rPr>
                <w:rStyle w:val="Strong"/>
                <w:rFonts w:eastAsiaTheme="majorEastAsia"/>
              </w:rPr>
              <w:t>(Re)Connect: Climate Challenge Mapping</w:t>
            </w:r>
            <w:r>
              <w:t xml:space="preserve"> – A participatory exercise to surface local and global adaptation challenges.</w:t>
            </w:r>
          </w:p>
          <w:p w14:paraId="4AE7D6D2" w14:textId="687115DB" w:rsidR="00F25302" w:rsidRDefault="00F25302" w:rsidP="00F25302">
            <w:pPr>
              <w:pStyle w:val="NormalWeb"/>
              <w:numPr>
                <w:ilvl w:val="0"/>
                <w:numId w:val="3"/>
              </w:numPr>
            </w:pPr>
            <w:r>
              <w:rPr>
                <w:rStyle w:val="Strong"/>
                <w:rFonts w:eastAsiaTheme="majorEastAsia"/>
              </w:rPr>
              <w:t xml:space="preserve">Understand: Problem Framing &amp; Multi-Stakeholder </w:t>
            </w:r>
            <w:proofErr w:type="gramStart"/>
            <w:r>
              <w:rPr>
                <w:rStyle w:val="Strong"/>
                <w:rFonts w:eastAsiaTheme="majorEastAsia"/>
              </w:rPr>
              <w:t>Perspectives</w:t>
            </w:r>
            <w:r>
              <w:t xml:space="preserve">  –</w:t>
            </w:r>
            <w:proofErr w:type="gramEnd"/>
            <w:r>
              <w:t xml:space="preserve"> Interactive activity integrating Indigenous, local, and scientific insights.</w:t>
            </w:r>
          </w:p>
          <w:p w14:paraId="3B292110" w14:textId="5E356B41" w:rsidR="00F25302" w:rsidRDefault="00F25302" w:rsidP="00F25302">
            <w:pPr>
              <w:pStyle w:val="NormalWeb"/>
              <w:numPr>
                <w:ilvl w:val="0"/>
                <w:numId w:val="3"/>
              </w:numPr>
            </w:pPr>
            <w:r>
              <w:rPr>
                <w:rStyle w:val="Strong"/>
                <w:rFonts w:eastAsiaTheme="majorEastAsia"/>
              </w:rPr>
              <w:t xml:space="preserve">Propose &amp; Validate: Rapid Ideation &amp; </w:t>
            </w:r>
            <w:proofErr w:type="gramStart"/>
            <w:r>
              <w:rPr>
                <w:rStyle w:val="Strong"/>
                <w:rFonts w:eastAsiaTheme="majorEastAsia"/>
              </w:rPr>
              <w:t>Feedback</w:t>
            </w:r>
            <w:r>
              <w:t xml:space="preserve">  –</w:t>
            </w:r>
            <w:proofErr w:type="gramEnd"/>
            <w:r>
              <w:t xml:space="preserve"> Small-group collaboration to co-develop solutions.</w:t>
            </w:r>
          </w:p>
          <w:p w14:paraId="33E6366F" w14:textId="0E27FADA" w:rsidR="00F25302" w:rsidRDefault="00F25302" w:rsidP="00F25302">
            <w:pPr>
              <w:pStyle w:val="NormalWeb"/>
              <w:numPr>
                <w:ilvl w:val="0"/>
                <w:numId w:val="3"/>
              </w:numPr>
            </w:pPr>
            <w:r>
              <w:rPr>
                <w:rStyle w:val="Strong"/>
                <w:rFonts w:eastAsiaTheme="majorEastAsia"/>
              </w:rPr>
              <w:t>Plan for Impact: From Idea to Implementation</w:t>
            </w:r>
            <w:r>
              <w:t xml:space="preserve"> – Strategic planning for real-world adaptation action.</w:t>
            </w:r>
          </w:p>
          <w:p w14:paraId="21C30F13" w14:textId="7E6F37B8" w:rsidR="00F25302" w:rsidRDefault="00F25302" w:rsidP="00F25302">
            <w:pPr>
              <w:pStyle w:val="NormalWeb"/>
              <w:numPr>
                <w:ilvl w:val="0"/>
                <w:numId w:val="3"/>
              </w:numPr>
            </w:pPr>
            <w:r>
              <w:rPr>
                <w:rStyle w:val="Strong"/>
                <w:rFonts w:eastAsiaTheme="majorEastAsia"/>
              </w:rPr>
              <w:lastRenderedPageBreak/>
              <w:t>Reflection &amp; Closing</w:t>
            </w:r>
            <w:r>
              <w:t xml:space="preserve"> – Collective reflection using mindset cards and discussion of future applications.</w:t>
            </w:r>
          </w:p>
          <w:p w14:paraId="53262212" w14:textId="77777777" w:rsidR="00F25302" w:rsidRDefault="00F25302" w:rsidP="00F25302">
            <w:pPr>
              <w:pStyle w:val="NormalWeb"/>
            </w:pPr>
            <w:r>
              <w:rPr>
                <w:rStyle w:val="Strong"/>
                <w:rFonts w:eastAsiaTheme="majorEastAsia"/>
              </w:rPr>
              <w:t>Expected Outcomes:</w:t>
            </w:r>
          </w:p>
          <w:p w14:paraId="78F5E207" w14:textId="23920313" w:rsidR="00F25302" w:rsidRDefault="00F25302" w:rsidP="00F25302">
            <w:pPr>
              <w:pStyle w:val="NormalWeb"/>
              <w:numPr>
                <w:ilvl w:val="0"/>
                <w:numId w:val="4"/>
              </w:numPr>
            </w:pPr>
            <w:r>
              <w:t>Participants gain introductory hands-on experience with D4C tools, enhancing their ability to design participatory and adaptive solutions.</w:t>
            </w:r>
          </w:p>
          <w:p w14:paraId="0BED306A" w14:textId="77777777" w:rsidR="00F25302" w:rsidRDefault="00F25302" w:rsidP="00F25302">
            <w:pPr>
              <w:pStyle w:val="NormalWeb"/>
              <w:numPr>
                <w:ilvl w:val="0"/>
                <w:numId w:val="4"/>
              </w:numPr>
            </w:pPr>
            <w:r>
              <w:t>Strengthened collaboration between researchers, policymakers, and Indigenous/local knowledge holders in climate adaptation efforts.</w:t>
            </w:r>
          </w:p>
          <w:p w14:paraId="25670E61" w14:textId="77777777" w:rsidR="00F25302" w:rsidRDefault="00F25302" w:rsidP="00F25302">
            <w:pPr>
              <w:pStyle w:val="NormalWeb"/>
              <w:numPr>
                <w:ilvl w:val="0"/>
                <w:numId w:val="4"/>
              </w:numPr>
            </w:pPr>
            <w:r>
              <w:t>Actionable insights and strategies for integrating technical, relational, and cultural aspects into climate resilience planning.</w:t>
            </w:r>
          </w:p>
          <w:p w14:paraId="7D9F57BB" w14:textId="77777777" w:rsidR="00F25302" w:rsidRDefault="00F25302" w:rsidP="00F25302">
            <w:pPr>
              <w:pStyle w:val="NormalWeb"/>
            </w:pPr>
            <w:r>
              <w:rPr>
                <w:rStyle w:val="Strong"/>
                <w:rFonts w:eastAsiaTheme="majorEastAsia"/>
              </w:rPr>
              <w:t>Relevance to AF2025 Themes:</w:t>
            </w:r>
          </w:p>
          <w:p w14:paraId="64F59F7C" w14:textId="77777777" w:rsidR="00F25302" w:rsidRDefault="00F25302" w:rsidP="00F25302">
            <w:pPr>
              <w:pStyle w:val="NormalWeb"/>
              <w:numPr>
                <w:ilvl w:val="0"/>
                <w:numId w:val="5"/>
              </w:numPr>
            </w:pPr>
            <w:r>
              <w:rPr>
                <w:rStyle w:val="Strong"/>
                <w:rFonts w:eastAsiaTheme="majorEastAsia"/>
              </w:rPr>
              <w:t>New Insights &amp; Evidence:</w:t>
            </w:r>
            <w:r>
              <w:t xml:space="preserve"> D4C offers a structured yet flexible framework backed by research and field applications.</w:t>
            </w:r>
          </w:p>
          <w:p w14:paraId="3DF4504F" w14:textId="77777777" w:rsidR="00F25302" w:rsidRDefault="00F25302" w:rsidP="00F25302">
            <w:pPr>
              <w:pStyle w:val="NormalWeb"/>
              <w:numPr>
                <w:ilvl w:val="0"/>
                <w:numId w:val="5"/>
              </w:numPr>
            </w:pPr>
            <w:r>
              <w:rPr>
                <w:rStyle w:val="Strong"/>
                <w:rFonts w:eastAsiaTheme="majorEastAsia"/>
              </w:rPr>
              <w:t>Indigenous &amp; Local Knowledge Inclusion:</w:t>
            </w:r>
            <w:r>
              <w:t xml:space="preserve"> The workshop emphasizes co-design with Indigenous and local communities.</w:t>
            </w:r>
          </w:p>
          <w:p w14:paraId="60B9AEA1" w14:textId="77777777" w:rsidR="00F25302" w:rsidRDefault="00F25302" w:rsidP="00F25302">
            <w:pPr>
              <w:pStyle w:val="NormalWeb"/>
              <w:numPr>
                <w:ilvl w:val="0"/>
                <w:numId w:val="5"/>
              </w:numPr>
            </w:pPr>
            <w:r>
              <w:rPr>
                <w:rStyle w:val="Strong"/>
                <w:rFonts w:eastAsiaTheme="majorEastAsia"/>
              </w:rPr>
              <w:t>Gender, Equity &amp; Social Inclusion:</w:t>
            </w:r>
            <w:r>
              <w:t xml:space="preserve"> D4C balances masculine and feminine approaches to conservation and adaptation.</w:t>
            </w:r>
          </w:p>
          <w:p w14:paraId="4E6D3EB7" w14:textId="77777777" w:rsidR="00F25302" w:rsidRDefault="00F25302" w:rsidP="00F25302">
            <w:pPr>
              <w:pStyle w:val="NormalWeb"/>
              <w:numPr>
                <w:ilvl w:val="0"/>
                <w:numId w:val="5"/>
              </w:numPr>
            </w:pPr>
            <w:r>
              <w:rPr>
                <w:rStyle w:val="Strong"/>
                <w:rFonts w:eastAsiaTheme="majorEastAsia"/>
              </w:rPr>
              <w:t>Research-Practice-Policy Nexus:</w:t>
            </w:r>
            <w:r>
              <w:t xml:space="preserve"> The session fosters collaboration between researchers, practitioners, policymakers, and private-sector stakeholders.</w:t>
            </w:r>
          </w:p>
          <w:p w14:paraId="500BBF5B" w14:textId="77777777" w:rsidR="00F25302" w:rsidRDefault="00F25302" w:rsidP="00F25302">
            <w:pPr>
              <w:pStyle w:val="NormalWeb"/>
              <w:numPr>
                <w:ilvl w:val="0"/>
                <w:numId w:val="5"/>
              </w:numPr>
            </w:pPr>
            <w:r>
              <w:rPr>
                <w:rStyle w:val="Strong"/>
                <w:rFonts w:eastAsiaTheme="majorEastAsia"/>
              </w:rPr>
              <w:t>Case Studies &amp; Tools:</w:t>
            </w:r>
            <w:r>
              <w:t xml:space="preserve"> Real-world applications demonstrate how D4C accelerates adaptation across diverse environmental and social contexts.</w:t>
            </w:r>
          </w:p>
          <w:p w14:paraId="3EA5351E" w14:textId="7D3C21B5" w:rsidR="004A3628" w:rsidRDefault="00F25302" w:rsidP="00F25302">
            <w:pPr>
              <w:pStyle w:val="NormalWeb"/>
            </w:pPr>
            <w:r>
              <w:rPr>
                <w:rStyle w:val="Strong"/>
                <w:rFonts w:eastAsiaTheme="majorEastAsia"/>
              </w:rPr>
              <w:t>Previous Applications:</w:t>
            </w:r>
            <w:r>
              <w:t xml:space="preserve"> D4C workshops have been delivered at the UN Ocean Decade Conference (Spain), Pathways (USA), </w:t>
            </w:r>
            <w:proofErr w:type="spellStart"/>
            <w:r>
              <w:t>EcoSummit</w:t>
            </w:r>
            <w:proofErr w:type="spellEnd"/>
            <w:r>
              <w:t xml:space="preserve"> (Australia), and events in France, Colombia, Panama, Chile, Argentina, and globally online. It has been applied in community-led conservation projects and as a structured course at the University of Auckland.</w:t>
            </w:r>
            <w:r w:rsidR="00B6047B">
              <w:t xml:space="preserve"> A book presenting this methodology is to be published by Springer NATURE in 2025 (in press).</w:t>
            </w:r>
          </w:p>
          <w:p w14:paraId="2B13348F" w14:textId="338CC3AC" w:rsidR="00F25302" w:rsidRPr="00F25302" w:rsidRDefault="00F25302" w:rsidP="00F25302">
            <w:pPr>
              <w:pStyle w:val="NormalWeb"/>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3AF89F2F"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F25302">
              <w:rPr>
                <w:rFonts w:ascii="Arial" w:hAnsi="Arial" w:cs="Arial"/>
                <w:b/>
                <w:sz w:val="22"/>
                <w:szCs w:val="22"/>
              </w:rPr>
              <w:t xml:space="preserve"> Gabriela Nuri Baron</w:t>
            </w:r>
          </w:p>
          <w:p w14:paraId="4E0ABFC3" w14:textId="58592CAE"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F25302">
              <w:rPr>
                <w:rFonts w:ascii="Arial" w:hAnsi="Arial" w:cs="Arial"/>
                <w:b/>
                <w:sz w:val="22"/>
                <w:szCs w:val="22"/>
              </w:rPr>
              <w:t xml:space="preserve"> The University of Auckland</w:t>
            </w:r>
          </w:p>
          <w:p w14:paraId="6D637355" w14:textId="0132C229" w:rsidR="004A3628" w:rsidRPr="00853BDB" w:rsidRDefault="00F25302" w:rsidP="00D13086">
            <w:pPr>
              <w:jc w:val="both"/>
              <w:rPr>
                <w:rFonts w:ascii="Arial" w:hAnsi="Arial" w:cs="Arial"/>
                <w:b/>
                <w:sz w:val="22"/>
                <w:szCs w:val="22"/>
              </w:rPr>
            </w:pPr>
            <w:r>
              <w:t xml:space="preserve">Gabriela Nuri Baron is a researcher, educator, and strategist specializing in participatory methodologies for sustainability and conservation. A Senior Lecturer at the University of Auckland, she collaborates with Indigenous and local communities, integrating decolonial approaches. She holds a PhD in Environmental Engineering and is a certified </w:t>
            </w:r>
            <w:proofErr w:type="spellStart"/>
            <w:r>
              <w:t>DiveMaster</w:t>
            </w:r>
            <w:proofErr w:type="spellEnd"/>
            <w:r>
              <w:t>.</w:t>
            </w:r>
          </w:p>
          <w:p w14:paraId="5C9FE2FC" w14:textId="79AC5CAC" w:rsidR="004A3628" w:rsidRDefault="004A3628" w:rsidP="00D13086">
            <w:pPr>
              <w:jc w:val="both"/>
              <w:rPr>
                <w:rFonts w:ascii="Arial" w:hAnsi="Arial" w:cs="Arial"/>
                <w:bCs/>
                <w:sz w:val="22"/>
                <w:szCs w:val="22"/>
              </w:rPr>
            </w:pP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2027AFBC" w14:textId="77777777" w:rsidR="00AD4B38" w:rsidRDefault="00AD4B38" w:rsidP="00AD4B38">
            <w:pPr>
              <w:pStyle w:val="NormalWeb"/>
            </w:pPr>
            <w:r>
              <w:lastRenderedPageBreak/>
              <w:t>Gabriela Nuri Baron, creator of the Design for Conservation (D4C) methodology, will lead the facilitation of this workshop, ensuring an engaging and participatory learning experience. With extensive expertise in participatory design, conservation, and sustainability, she will guide participants through the D4C methodology, emphasizing its integration of technical, relational, and cultural dimensions.</w:t>
            </w:r>
          </w:p>
          <w:p w14:paraId="2D8D831C" w14:textId="77777777" w:rsidR="00AD4B38" w:rsidRDefault="00AD4B38" w:rsidP="00AD4B38">
            <w:pPr>
              <w:pStyle w:val="NormalWeb"/>
            </w:pPr>
            <w:r>
              <w:t>As a facilitator, Gabriela will create an inclusive and dynamic environment, encouraging interdisciplinary collaboration and knowledge exchange. She will introduce key D4C tools, support interactive group exercises, and provide hands-on guidance through the methodology’s five-step process. Drawing from her experience working with Indigenous and local communities, she will highlight decolonial approaches, multi-species perspectives, and systems thinking in conservation design.</w:t>
            </w:r>
          </w:p>
          <w:p w14:paraId="28EB8B69" w14:textId="77777777" w:rsidR="00AD4B38" w:rsidRDefault="00AD4B38" w:rsidP="00AD4B38">
            <w:pPr>
              <w:pStyle w:val="NormalWeb"/>
            </w:pPr>
            <w:r>
              <w:t>Through storytelling, practical exercises, and reflection, Gabriela will help participants connect conservation challenges with actionable, adaptive solutions. Her expertise in co-creation will ensure that diverse voices are heard, fostering collective problem-solving and knowledge sharing. By the end of the session, participants will leave with a deeper understanding of how to apply D4C principles in their own contexts, equipped with practical tools for designing inclusive, regenerative, and impactful conservation initiatives.</w:t>
            </w:r>
          </w:p>
          <w:p w14:paraId="5A56FDEA" w14:textId="77777777" w:rsidR="004A3628" w:rsidRPr="00AD4B38" w:rsidRDefault="004A3628" w:rsidP="00D13086">
            <w:pPr>
              <w:jc w:val="both"/>
              <w:rPr>
                <w:rFonts w:ascii="Arial" w:hAnsi="Arial" w:cs="Arial"/>
                <w:b/>
                <w:sz w:val="22"/>
                <w:szCs w:val="22"/>
                <w:lang w:val="en-NZ"/>
              </w:rPr>
            </w:pPr>
          </w:p>
          <w:p w14:paraId="5657E8A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1FCEF8C7"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F25302">
              <w:rPr>
                <w:rFonts w:ascii="Arial" w:hAnsi="Arial" w:cs="Arial"/>
                <w:b/>
                <w:sz w:val="22"/>
                <w:szCs w:val="22"/>
              </w:rPr>
              <w:t xml:space="preserve"> </w:t>
            </w:r>
            <w:r w:rsidR="00AD4B38">
              <w:rPr>
                <w:rFonts w:ascii="Arial" w:hAnsi="Arial" w:cs="Arial"/>
                <w:b/>
                <w:sz w:val="22"/>
                <w:szCs w:val="22"/>
              </w:rPr>
              <w:t>Niva Kay</w:t>
            </w:r>
          </w:p>
          <w:p w14:paraId="048F14DC" w14:textId="6F6B9CE7"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F25302">
              <w:rPr>
                <w:rFonts w:ascii="Arial" w:hAnsi="Arial" w:cs="Arial"/>
                <w:b/>
                <w:sz w:val="22"/>
                <w:szCs w:val="22"/>
              </w:rPr>
              <w:t xml:space="preserve"> The University of Auckland</w:t>
            </w:r>
          </w:p>
          <w:p w14:paraId="001FFF36" w14:textId="70292868" w:rsidR="004A3628" w:rsidRDefault="004A3628" w:rsidP="00D13086">
            <w:pPr>
              <w:jc w:val="both"/>
              <w:rPr>
                <w:rFonts w:ascii="Arial" w:hAnsi="Arial" w:cs="Arial"/>
                <w:b/>
                <w:sz w:val="22"/>
                <w:szCs w:val="22"/>
              </w:rPr>
            </w:pPr>
            <w:r w:rsidRPr="00853BDB">
              <w:rPr>
                <w:rFonts w:ascii="Arial" w:hAnsi="Arial" w:cs="Arial"/>
                <w:b/>
                <w:sz w:val="22"/>
                <w:szCs w:val="22"/>
              </w:rPr>
              <w:t xml:space="preserve">Bio </w:t>
            </w:r>
          </w:p>
          <w:p w14:paraId="1ACCC1C4" w14:textId="2E1E7D11" w:rsidR="004A3628" w:rsidRPr="00AD4B38" w:rsidRDefault="00AD4B38" w:rsidP="00AD4B38">
            <w:pPr>
              <w:pStyle w:val="NormalWeb"/>
            </w:pPr>
            <w:r>
              <w:t xml:space="preserve">Niva is the founder of Pākaraka Permaculture, a regenerative market garden and education </w:t>
            </w:r>
            <w:proofErr w:type="spellStart"/>
            <w:r>
              <w:t>center</w:t>
            </w:r>
            <w:proofErr w:type="spellEnd"/>
            <w:r>
              <w:t>. A multidisciplinary professional, she bridges sustainability, media, and education. A filmmaker, author, and PhD candidate at the University of Auckland, she develops tools for visualizing sustainable futures through games, storytelling, and community-driven learning initiatives.</w:t>
            </w:r>
          </w:p>
          <w:p w14:paraId="3C323500" w14:textId="77777777" w:rsidR="004A3628" w:rsidRPr="00853BDB" w:rsidRDefault="004A3628" w:rsidP="00D13086">
            <w:pPr>
              <w:jc w:val="both"/>
              <w:rPr>
                <w:rFonts w:ascii="Arial" w:hAnsi="Arial" w:cs="Arial"/>
                <w:bCs/>
                <w:sz w:val="22"/>
                <w:szCs w:val="22"/>
              </w:rPr>
            </w:pPr>
          </w:p>
          <w:p w14:paraId="6D2825B4"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6B7D6406" w14:textId="77777777" w:rsidR="00AD4B38" w:rsidRDefault="00AD4B38" w:rsidP="00AD4B38">
            <w:pPr>
              <w:pStyle w:val="NormalWeb"/>
            </w:pPr>
            <w:r>
              <w:t>Niva Kay will co-facilitate the workshop, bringing her expertise in regenerative design, environmental storytelling, and participatory education. As a practitioner with deep experience in sustainability, permaculture, and community-led initiatives, she will guide participants through hands-on exercises, helping them apply the Design for Conservation (D4C) methodology to real-world challenges.</w:t>
            </w:r>
          </w:p>
          <w:p w14:paraId="44733330" w14:textId="77777777" w:rsidR="00AD4B38" w:rsidRDefault="00AD4B38" w:rsidP="00AD4B38">
            <w:pPr>
              <w:pStyle w:val="NormalWeb"/>
            </w:pPr>
            <w:r>
              <w:t xml:space="preserve">Drawing from her lived experience as the founder of Pākaraka Permaculture and her background in film, digital media, and game-based learning, Niva will offer insights into creative approaches for engaging communities in conservation. She will share case </w:t>
            </w:r>
            <w:r>
              <w:lastRenderedPageBreak/>
              <w:t>studies on regenerative practices, intergenerational knowledge transfer, and visual storytelling as tools for driving environmental action.</w:t>
            </w:r>
          </w:p>
          <w:p w14:paraId="556D54E7" w14:textId="44D157B4" w:rsidR="004A3628" w:rsidRPr="00AD4B38" w:rsidRDefault="00AD4B38" w:rsidP="00AD4B38">
            <w:pPr>
              <w:pStyle w:val="NormalWeb"/>
            </w:pPr>
            <w:r>
              <w:t>Through facilitation, storytelling, and interactive discussions, Niva will support participants in framing conservation challenges, co-designing solutions, and integrating diverse knowledge systems into their work. Her passion for accessible and community-driven solutions will ensure an inclusive and dynamic learning environment, where participants leave with practical skills and inspiration to implement conservation strategies in their own contexts.</w:t>
            </w:r>
          </w:p>
          <w:p w14:paraId="7D37857D" w14:textId="527D74F7" w:rsidR="004A3628" w:rsidRPr="00BE0B4D" w:rsidRDefault="004A3628" w:rsidP="00C75D27">
            <w:pPr>
              <w:jc w:val="both"/>
              <w:rPr>
                <w:rFonts w:ascii="Arial" w:hAnsi="Arial" w:cs="Arial"/>
                <w:b/>
                <w:bCs/>
                <w:sz w:val="22"/>
                <w:szCs w:val="22"/>
              </w:rPr>
            </w:pPr>
          </w:p>
        </w:tc>
      </w:tr>
      <w:tr w:rsidR="00F25302" w:rsidRPr="0003525D" w14:paraId="3FB3D8EA" w14:textId="77777777" w:rsidTr="00D13086">
        <w:trPr>
          <w:trHeight w:val="576"/>
        </w:trPr>
        <w:tc>
          <w:tcPr>
            <w:tcW w:w="8640" w:type="dxa"/>
          </w:tcPr>
          <w:p w14:paraId="6B3DDF7E" w14:textId="77777777" w:rsidR="00F25302" w:rsidRDefault="00F25302" w:rsidP="00D13086">
            <w:pPr>
              <w:jc w:val="both"/>
              <w:rPr>
                <w:rFonts w:ascii="Arial" w:hAnsi="Arial" w:cs="Arial"/>
                <w:b/>
                <w:sz w:val="22"/>
                <w:szCs w:val="22"/>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0DCC"/>
    <w:multiLevelType w:val="multilevel"/>
    <w:tmpl w:val="0FB6F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93448"/>
    <w:multiLevelType w:val="multilevel"/>
    <w:tmpl w:val="BD669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85F75DA"/>
    <w:multiLevelType w:val="multilevel"/>
    <w:tmpl w:val="010A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D43AFC"/>
    <w:multiLevelType w:val="multilevel"/>
    <w:tmpl w:val="428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686634">
    <w:abstractNumId w:val="2"/>
  </w:num>
  <w:num w:numId="2" w16cid:durableId="59909519">
    <w:abstractNumId w:val="0"/>
  </w:num>
  <w:num w:numId="3" w16cid:durableId="1969239152">
    <w:abstractNumId w:val="1"/>
  </w:num>
  <w:num w:numId="4" w16cid:durableId="691222353">
    <w:abstractNumId w:val="4"/>
  </w:num>
  <w:num w:numId="5" w16cid:durableId="1148546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466039"/>
    <w:rsid w:val="004A3628"/>
    <w:rsid w:val="006A1FA0"/>
    <w:rsid w:val="00703A27"/>
    <w:rsid w:val="00722DC7"/>
    <w:rsid w:val="00734077"/>
    <w:rsid w:val="007E3312"/>
    <w:rsid w:val="008916AA"/>
    <w:rsid w:val="00A467B7"/>
    <w:rsid w:val="00AD4B38"/>
    <w:rsid w:val="00B6047B"/>
    <w:rsid w:val="00B74AC2"/>
    <w:rsid w:val="00B76030"/>
    <w:rsid w:val="00C10F12"/>
    <w:rsid w:val="00C75D27"/>
    <w:rsid w:val="00D02F62"/>
    <w:rsid w:val="00EC2F94"/>
    <w:rsid w:val="00F25302"/>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NormalWeb">
    <w:name w:val="Normal (Web)"/>
    <w:basedOn w:val="Normal"/>
    <w:uiPriority w:val="99"/>
    <w:unhideWhenUsed/>
    <w:rsid w:val="00F25302"/>
    <w:pPr>
      <w:spacing w:before="100" w:beforeAutospacing="1" w:after="100" w:afterAutospacing="1"/>
    </w:pPr>
    <w:rPr>
      <w:rFonts w:ascii="Times New Roman" w:eastAsia="Times New Roman" w:hAnsi="Times New Roman" w:cs="Times New Roman"/>
      <w:lang w:val="en-NZ" w:eastAsia="en-GB"/>
    </w:rPr>
  </w:style>
  <w:style w:type="character" w:styleId="Strong">
    <w:name w:val="Strong"/>
    <w:basedOn w:val="DefaultParagraphFont"/>
    <w:uiPriority w:val="22"/>
    <w:qFormat/>
    <w:rsid w:val="00F25302"/>
    <w:rPr>
      <w:b/>
      <w:bCs/>
    </w:rPr>
  </w:style>
  <w:style w:type="character" w:styleId="Hyperlink">
    <w:name w:val="Hyperlink"/>
    <w:basedOn w:val="DefaultParagraphFont"/>
    <w:uiPriority w:val="99"/>
    <w:unhideWhenUsed/>
    <w:rsid w:val="00B6047B"/>
    <w:rPr>
      <w:color w:val="467886" w:themeColor="hyperlink"/>
      <w:u w:val="single"/>
    </w:rPr>
  </w:style>
  <w:style w:type="character" w:styleId="UnresolvedMention">
    <w:name w:val="Unresolved Mention"/>
    <w:basedOn w:val="DefaultParagraphFont"/>
    <w:uiPriority w:val="99"/>
    <w:semiHidden/>
    <w:unhideWhenUsed/>
    <w:rsid w:val="00B6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79487">
      <w:bodyDiv w:val="1"/>
      <w:marLeft w:val="0"/>
      <w:marRight w:val="0"/>
      <w:marTop w:val="0"/>
      <w:marBottom w:val="0"/>
      <w:divBdr>
        <w:top w:val="none" w:sz="0" w:space="0" w:color="auto"/>
        <w:left w:val="none" w:sz="0" w:space="0" w:color="auto"/>
        <w:bottom w:val="none" w:sz="0" w:space="0" w:color="auto"/>
        <w:right w:val="none" w:sz="0" w:space="0" w:color="auto"/>
      </w:divBdr>
    </w:div>
    <w:div w:id="333532522">
      <w:bodyDiv w:val="1"/>
      <w:marLeft w:val="0"/>
      <w:marRight w:val="0"/>
      <w:marTop w:val="0"/>
      <w:marBottom w:val="0"/>
      <w:divBdr>
        <w:top w:val="none" w:sz="0" w:space="0" w:color="auto"/>
        <w:left w:val="none" w:sz="0" w:space="0" w:color="auto"/>
        <w:bottom w:val="none" w:sz="0" w:space="0" w:color="auto"/>
        <w:right w:val="none" w:sz="0" w:space="0" w:color="auto"/>
      </w:divBdr>
    </w:div>
    <w:div w:id="421533411">
      <w:bodyDiv w:val="1"/>
      <w:marLeft w:val="0"/>
      <w:marRight w:val="0"/>
      <w:marTop w:val="0"/>
      <w:marBottom w:val="0"/>
      <w:divBdr>
        <w:top w:val="none" w:sz="0" w:space="0" w:color="auto"/>
        <w:left w:val="none" w:sz="0" w:space="0" w:color="auto"/>
        <w:bottom w:val="none" w:sz="0" w:space="0" w:color="auto"/>
        <w:right w:val="none" w:sz="0" w:space="0" w:color="auto"/>
      </w:divBdr>
    </w:div>
    <w:div w:id="72013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ign4conservation.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F36F8374-21D8-4080-BDF9-B68A5A21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6</cp:revision>
  <dcterms:created xsi:type="dcterms:W3CDTF">2025-02-27T01:00:00Z</dcterms:created>
  <dcterms:modified xsi:type="dcterms:W3CDTF">2025-08-18T22:51:00Z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