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48"/>
      </w:tblGrid>
      <w:tr w:rsidR="001564A4" w:rsidRPr="0050053A" w14:paraId="5C38377B" w14:textId="77777777" w:rsidTr="00ED5EDA">
        <w:trPr>
          <w:trHeight w:val="625"/>
          <w:jc w:val="center"/>
        </w:trPr>
        <w:tc>
          <w:tcPr>
            <w:tcW w:w="8848" w:type="dxa"/>
            <w:shd w:val="clear" w:color="auto" w:fill="auto"/>
          </w:tcPr>
          <w:p w14:paraId="5C44F357" w14:textId="1A6EEF92" w:rsidR="001564A4" w:rsidRPr="00B50E04" w:rsidRDefault="00B50E04" w:rsidP="00B50E04">
            <w:pPr>
              <w:rPr>
                <w:rFonts w:eastAsia="Arial"/>
                <w:sz w:val="36"/>
                <w:szCs w:val="36"/>
              </w:rPr>
            </w:pPr>
            <w:r w:rsidRPr="00B50E04">
              <w:rPr>
                <w:rFonts w:ascii="Arial" w:hAnsi="Arial" w:cs="Arial"/>
                <w:b/>
                <w:sz w:val="22"/>
                <w:szCs w:val="22"/>
                <w:lang w:val="en-US" w:eastAsia="en-GB"/>
              </w:rPr>
              <w:t xml:space="preserve">Malignant </w:t>
            </w:r>
            <w:r w:rsidR="00975515">
              <w:rPr>
                <w:rFonts w:ascii="Arial" w:hAnsi="Arial" w:cs="Arial"/>
                <w:b/>
                <w:sz w:val="22"/>
                <w:szCs w:val="22"/>
                <w:lang w:val="en-US" w:eastAsia="en-GB"/>
              </w:rPr>
              <w:t>p</w:t>
            </w:r>
            <w:r w:rsidRPr="00B50E04">
              <w:rPr>
                <w:rFonts w:ascii="Arial" w:hAnsi="Arial" w:cs="Arial"/>
                <w:b/>
                <w:sz w:val="22"/>
                <w:szCs w:val="22"/>
                <w:lang w:val="en-US" w:eastAsia="en-GB"/>
              </w:rPr>
              <w:t xml:space="preserve">leural </w:t>
            </w:r>
            <w:r w:rsidR="00975515">
              <w:rPr>
                <w:rFonts w:ascii="Arial" w:hAnsi="Arial" w:cs="Arial"/>
                <w:b/>
                <w:sz w:val="22"/>
                <w:szCs w:val="22"/>
                <w:lang w:val="en-US" w:eastAsia="en-GB"/>
              </w:rPr>
              <w:t>e</w:t>
            </w:r>
            <w:r w:rsidRPr="00B50E04">
              <w:rPr>
                <w:rFonts w:ascii="Arial" w:hAnsi="Arial" w:cs="Arial"/>
                <w:b/>
                <w:sz w:val="22"/>
                <w:szCs w:val="22"/>
                <w:lang w:val="en-US" w:eastAsia="en-GB"/>
              </w:rPr>
              <w:t xml:space="preserve">ffusion </w:t>
            </w:r>
            <w:r w:rsidR="00975515">
              <w:rPr>
                <w:rFonts w:ascii="Arial" w:hAnsi="Arial" w:cs="Arial"/>
                <w:b/>
                <w:sz w:val="22"/>
                <w:szCs w:val="22"/>
                <w:lang w:val="en-US" w:eastAsia="en-GB"/>
              </w:rPr>
              <w:t>m</w:t>
            </w:r>
            <w:r w:rsidRPr="00B50E04">
              <w:rPr>
                <w:rFonts w:ascii="Arial" w:hAnsi="Arial" w:cs="Arial"/>
                <w:b/>
                <w:sz w:val="22"/>
                <w:szCs w:val="22"/>
                <w:lang w:val="en-US" w:eastAsia="en-GB"/>
              </w:rPr>
              <w:t xml:space="preserve">anagement: An </w:t>
            </w:r>
            <w:r w:rsidR="00975515">
              <w:rPr>
                <w:rFonts w:ascii="Arial" w:hAnsi="Arial" w:cs="Arial"/>
                <w:b/>
                <w:sz w:val="22"/>
                <w:szCs w:val="22"/>
                <w:lang w:val="en-US" w:eastAsia="en-GB"/>
              </w:rPr>
              <w:t>a</w:t>
            </w:r>
            <w:r w:rsidRPr="00B50E04">
              <w:rPr>
                <w:rFonts w:ascii="Arial" w:hAnsi="Arial" w:cs="Arial"/>
                <w:b/>
                <w:sz w:val="22"/>
                <w:szCs w:val="22"/>
                <w:lang w:val="en-US" w:eastAsia="en-GB"/>
              </w:rPr>
              <w:t xml:space="preserve">udit of </w:t>
            </w:r>
            <w:r w:rsidR="00975515">
              <w:rPr>
                <w:rFonts w:ascii="Arial" w:hAnsi="Arial" w:cs="Arial"/>
                <w:b/>
                <w:sz w:val="22"/>
                <w:szCs w:val="22"/>
                <w:lang w:val="en-US" w:eastAsia="en-GB"/>
              </w:rPr>
              <w:t>c</w:t>
            </w:r>
            <w:r w:rsidRPr="00B50E04">
              <w:rPr>
                <w:rFonts w:ascii="Arial" w:hAnsi="Arial" w:cs="Arial"/>
                <w:b/>
                <w:sz w:val="22"/>
                <w:szCs w:val="22"/>
                <w:lang w:val="en-US" w:eastAsia="en-GB"/>
              </w:rPr>
              <w:t xml:space="preserve">urrent </w:t>
            </w:r>
            <w:r w:rsidR="00975515">
              <w:rPr>
                <w:rFonts w:ascii="Arial" w:hAnsi="Arial" w:cs="Arial"/>
                <w:b/>
                <w:sz w:val="22"/>
                <w:szCs w:val="22"/>
                <w:lang w:val="en-US" w:eastAsia="en-GB"/>
              </w:rPr>
              <w:t>p</w:t>
            </w:r>
            <w:r w:rsidRPr="00B50E04">
              <w:rPr>
                <w:rFonts w:ascii="Arial" w:hAnsi="Arial" w:cs="Arial"/>
                <w:b/>
                <w:sz w:val="22"/>
                <w:szCs w:val="22"/>
                <w:lang w:val="en-US" w:eastAsia="en-GB"/>
              </w:rPr>
              <w:t xml:space="preserve">ractice at </w:t>
            </w:r>
            <w:r w:rsidR="00975515">
              <w:rPr>
                <w:rFonts w:ascii="Arial" w:hAnsi="Arial" w:cs="Arial"/>
                <w:b/>
                <w:sz w:val="22"/>
                <w:szCs w:val="22"/>
                <w:lang w:val="en-US" w:eastAsia="en-GB"/>
              </w:rPr>
              <w:t>t</w:t>
            </w:r>
            <w:r w:rsidRPr="00B50E04">
              <w:rPr>
                <w:rFonts w:ascii="Arial" w:hAnsi="Arial" w:cs="Arial"/>
                <w:b/>
                <w:sz w:val="22"/>
                <w:szCs w:val="22"/>
                <w:lang w:val="en-US" w:eastAsia="en-GB"/>
              </w:rPr>
              <w:t xml:space="preserve">wo </w:t>
            </w:r>
            <w:r w:rsidR="00975515">
              <w:rPr>
                <w:rFonts w:ascii="Arial" w:hAnsi="Arial" w:cs="Arial"/>
                <w:b/>
                <w:sz w:val="22"/>
                <w:szCs w:val="22"/>
                <w:lang w:val="en-US" w:eastAsia="en-GB"/>
              </w:rPr>
              <w:t>M</w:t>
            </w:r>
            <w:r w:rsidR="00975515" w:rsidRPr="00B50E04">
              <w:rPr>
                <w:rFonts w:ascii="Arial" w:hAnsi="Arial" w:cs="Arial"/>
                <w:b/>
                <w:sz w:val="22"/>
                <w:szCs w:val="22"/>
                <w:lang w:val="en-US" w:eastAsia="en-GB"/>
              </w:rPr>
              <w:t>elbourne</w:t>
            </w:r>
            <w:r w:rsidRPr="00B50E04">
              <w:rPr>
                <w:rFonts w:ascii="Arial" w:hAnsi="Arial" w:cs="Arial"/>
                <w:b/>
                <w:sz w:val="22"/>
                <w:szCs w:val="22"/>
                <w:lang w:val="en-US" w:eastAsia="en-GB"/>
              </w:rPr>
              <w:t xml:space="preserve"> </w:t>
            </w:r>
            <w:r w:rsidR="00975515">
              <w:rPr>
                <w:rFonts w:ascii="Arial" w:hAnsi="Arial" w:cs="Arial"/>
                <w:b/>
                <w:sz w:val="22"/>
                <w:szCs w:val="22"/>
                <w:lang w:val="en-US" w:eastAsia="en-GB"/>
              </w:rPr>
              <w:t>h</w:t>
            </w:r>
            <w:r w:rsidRPr="00B50E04">
              <w:rPr>
                <w:rFonts w:ascii="Arial" w:hAnsi="Arial" w:cs="Arial"/>
                <w:b/>
                <w:sz w:val="22"/>
                <w:szCs w:val="22"/>
                <w:lang w:val="en-US" w:eastAsia="en-GB"/>
              </w:rPr>
              <w:t>ospitals</w:t>
            </w:r>
          </w:p>
        </w:tc>
      </w:tr>
      <w:tr w:rsidR="001564A4" w:rsidRPr="0050053A" w14:paraId="0E2E035C" w14:textId="77777777" w:rsidTr="00ED5EDA">
        <w:trPr>
          <w:trHeight w:val="625"/>
          <w:jc w:val="center"/>
        </w:trPr>
        <w:tc>
          <w:tcPr>
            <w:tcW w:w="8848" w:type="dxa"/>
            <w:shd w:val="clear" w:color="auto" w:fill="auto"/>
          </w:tcPr>
          <w:p w14:paraId="73B55295" w14:textId="51308075" w:rsidR="001564A4" w:rsidRPr="00413B94" w:rsidRDefault="00B50E04" w:rsidP="000A28E2">
            <w:pPr>
              <w:spacing w:before="120" w:after="120"/>
              <w:rPr>
                <w:rFonts w:ascii="Arial" w:hAnsi="Arial" w:cs="Arial"/>
                <w:sz w:val="22"/>
                <w:szCs w:val="22"/>
                <w:u w:val="single"/>
                <w:lang w:eastAsia="zh-CN"/>
              </w:rPr>
            </w:pPr>
            <w:r>
              <w:rPr>
                <w:rFonts w:ascii="Arial" w:hAnsi="Arial" w:cs="Arial"/>
                <w:sz w:val="22"/>
                <w:szCs w:val="22"/>
                <w:lang w:val="en-US" w:eastAsia="en-GB"/>
              </w:rPr>
              <w:t>Jayne Roberts</w:t>
            </w:r>
            <w:r w:rsidR="001564A4" w:rsidRPr="00413B94">
              <w:rPr>
                <w:rFonts w:ascii="Arial" w:hAnsi="Arial" w:cs="Arial"/>
                <w:sz w:val="22"/>
                <w:szCs w:val="22"/>
                <w:vertAlign w:val="superscript"/>
                <w:lang w:val="en-US" w:eastAsia="en-GB"/>
              </w:rPr>
              <w:t>1</w:t>
            </w:r>
            <w:bookmarkStart w:id="0" w:name="Text8"/>
            <w:r w:rsidR="00F00C1E">
              <w:rPr>
                <w:rFonts w:ascii="Arial" w:hAnsi="Arial" w:cs="Arial"/>
                <w:sz w:val="22"/>
                <w:szCs w:val="22"/>
                <w:vertAlign w:val="superscript"/>
                <w:lang w:val="en-US" w:eastAsia="en-GB"/>
              </w:rPr>
              <w:t>,2</w:t>
            </w:r>
            <w:r w:rsidR="001564A4" w:rsidRPr="00413B94">
              <w:rPr>
                <w:rFonts w:ascii="Arial" w:hAnsi="Arial" w:cs="Arial"/>
                <w:sz w:val="22"/>
                <w:szCs w:val="22"/>
                <w:lang w:val="en-US" w:eastAsia="en-GB"/>
              </w:rPr>
              <w:t>,</w:t>
            </w:r>
            <w:bookmarkEnd w:id="0"/>
            <w:r>
              <w:rPr>
                <w:rFonts w:ascii="Arial" w:hAnsi="Arial" w:cs="Arial"/>
                <w:sz w:val="22"/>
                <w:szCs w:val="22"/>
                <w:lang w:val="en-US" w:eastAsia="en-GB"/>
              </w:rPr>
              <w:t xml:space="preserve"> Mark Lavercombe</w:t>
            </w:r>
            <w:r w:rsidR="00F00C1E">
              <w:rPr>
                <w:rFonts w:ascii="Arial" w:hAnsi="Arial" w:cs="Arial"/>
                <w:sz w:val="22"/>
                <w:szCs w:val="22"/>
                <w:vertAlign w:val="superscript"/>
                <w:lang w:val="en-US" w:eastAsia="en-GB"/>
              </w:rPr>
              <w:t>1,3</w:t>
            </w:r>
          </w:p>
        </w:tc>
      </w:tr>
      <w:tr w:rsidR="001564A4" w:rsidRPr="0050053A" w14:paraId="385A19D9" w14:textId="77777777" w:rsidTr="00ED5EDA">
        <w:trPr>
          <w:trHeight w:val="171"/>
          <w:jc w:val="center"/>
        </w:trPr>
        <w:tc>
          <w:tcPr>
            <w:tcW w:w="8848" w:type="dxa"/>
            <w:shd w:val="clear" w:color="auto" w:fill="auto"/>
          </w:tcPr>
          <w:p w14:paraId="670EC2D8" w14:textId="77777777" w:rsidR="00ED5EDA" w:rsidRDefault="001564A4" w:rsidP="00B50E04">
            <w:pPr>
              <w:rPr>
                <w:rFonts w:ascii="Arial" w:hAnsi="Arial" w:cs="Arial"/>
                <w:i/>
                <w:sz w:val="22"/>
                <w:szCs w:val="22"/>
                <w:lang w:val="en-US" w:eastAsia="en-GB"/>
              </w:rPr>
            </w:pPr>
            <w:r w:rsidRPr="0050053A">
              <w:rPr>
                <w:rFonts w:ascii="Arial" w:hAnsi="Arial" w:cs="Arial"/>
                <w:i/>
                <w:sz w:val="22"/>
                <w:szCs w:val="22"/>
                <w:vertAlign w:val="superscript"/>
                <w:lang w:val="en-US" w:eastAsia="en-GB"/>
              </w:rPr>
              <w:t>1</w:t>
            </w:r>
            <w:r w:rsidR="00B50E04" w:rsidRPr="00B50E04">
              <w:rPr>
                <w:rFonts w:ascii="Arial" w:hAnsi="Arial" w:cs="Arial"/>
                <w:i/>
                <w:sz w:val="22"/>
                <w:szCs w:val="22"/>
                <w:lang w:val="en-US" w:eastAsia="en-GB"/>
              </w:rPr>
              <w:t xml:space="preserve"> Department of Respiratory and Sleep Disorders Medicine, Western Health</w:t>
            </w:r>
          </w:p>
          <w:p w14:paraId="4163DCE7" w14:textId="4DDADC81" w:rsidR="00B50E04" w:rsidRPr="0050053A" w:rsidRDefault="00F00C1E" w:rsidP="00B50E04">
            <w:pPr>
              <w:rPr>
                <w:rFonts w:ascii="Arial" w:hAnsi="Arial" w:cs="Arial"/>
                <w:i/>
                <w:sz w:val="22"/>
                <w:szCs w:val="22"/>
                <w:lang w:val="en-US" w:eastAsia="en-GB"/>
              </w:rPr>
            </w:pPr>
            <w:r w:rsidRPr="00F00C1E">
              <w:rPr>
                <w:rFonts w:ascii="Arial" w:hAnsi="Arial" w:cs="Arial"/>
                <w:i/>
                <w:sz w:val="22"/>
                <w:szCs w:val="22"/>
                <w:vertAlign w:val="superscript"/>
                <w:lang w:val="en-US" w:eastAsia="en-GB"/>
              </w:rPr>
              <w:t>2</w:t>
            </w:r>
            <w:r>
              <w:rPr>
                <w:rFonts w:ascii="Arial" w:hAnsi="Arial" w:cs="Arial"/>
                <w:i/>
                <w:sz w:val="22"/>
                <w:szCs w:val="22"/>
                <w:lang w:val="en-US" w:eastAsia="en-GB"/>
              </w:rPr>
              <w:t xml:space="preserve"> </w:t>
            </w:r>
            <w:r w:rsidR="00B50E04">
              <w:rPr>
                <w:rFonts w:ascii="Arial" w:hAnsi="Arial" w:cs="Arial"/>
                <w:i/>
                <w:sz w:val="22"/>
                <w:szCs w:val="22"/>
                <w:lang w:val="en-US" w:eastAsia="en-GB"/>
              </w:rPr>
              <w:t>Department of Respiratory Medicine, Alfred Health</w:t>
            </w:r>
          </w:p>
          <w:p w14:paraId="45ED36BF" w14:textId="6E523E55" w:rsidR="001564A4" w:rsidRPr="0050053A" w:rsidRDefault="00F00C1E" w:rsidP="00F00C1E">
            <w:pPr>
              <w:rPr>
                <w:rFonts w:ascii="Arial" w:hAnsi="Arial" w:cs="Arial"/>
                <w:i/>
                <w:sz w:val="22"/>
                <w:szCs w:val="22"/>
                <w:lang w:val="en-US" w:eastAsia="en-GB"/>
              </w:rPr>
            </w:pPr>
            <w:r>
              <w:rPr>
                <w:rFonts w:ascii="Arial" w:hAnsi="Arial" w:cs="Arial"/>
                <w:i/>
                <w:sz w:val="22"/>
                <w:szCs w:val="22"/>
                <w:vertAlign w:val="superscript"/>
                <w:lang w:val="en-US" w:eastAsia="en-GB"/>
              </w:rPr>
              <w:t xml:space="preserve">3 </w:t>
            </w:r>
            <w:r w:rsidR="00B50E04" w:rsidRPr="00B50E04">
              <w:rPr>
                <w:rFonts w:ascii="Arial" w:hAnsi="Arial" w:cs="Arial"/>
                <w:i/>
                <w:sz w:val="22"/>
                <w:szCs w:val="22"/>
                <w:lang w:val="en-US" w:eastAsia="en-GB"/>
              </w:rPr>
              <w:t>Department of Medical Education, The University of Melbourne</w:t>
            </w:r>
          </w:p>
        </w:tc>
      </w:tr>
      <w:tr w:rsidR="001564A4" w:rsidRPr="0050053A" w14:paraId="6DAF615A" w14:textId="77777777" w:rsidTr="00ED5EDA">
        <w:trPr>
          <w:trHeight w:hRule="exact" w:val="9305"/>
          <w:jc w:val="center"/>
        </w:trPr>
        <w:tc>
          <w:tcPr>
            <w:tcW w:w="8848" w:type="dxa"/>
            <w:shd w:val="clear" w:color="auto" w:fill="auto"/>
          </w:tcPr>
          <w:p w14:paraId="739E7937" w14:textId="77777777" w:rsidR="001564A4" w:rsidRPr="00ED5EDA" w:rsidRDefault="001564A4" w:rsidP="000A28E2">
            <w:pPr>
              <w:pStyle w:val="Pa12"/>
              <w:rPr>
                <w:rStyle w:val="A4"/>
              </w:rPr>
            </w:pPr>
            <w:r w:rsidRPr="00ED5EDA">
              <w:rPr>
                <w:rStyle w:val="A4"/>
                <w:b/>
                <w:bCs/>
              </w:rPr>
              <w:t xml:space="preserve">Introduction/Aim: </w:t>
            </w:r>
          </w:p>
          <w:p w14:paraId="66BD8CC5" w14:textId="46EC466D" w:rsidR="00B50E04" w:rsidRPr="00ED5EDA" w:rsidRDefault="00B50E04" w:rsidP="00B50E04">
            <w:pPr>
              <w:rPr>
                <w:rFonts w:ascii="Arial" w:eastAsia="Arial" w:hAnsi="Arial" w:cs="Arial"/>
                <w:bCs/>
                <w:sz w:val="22"/>
                <w:szCs w:val="22"/>
              </w:rPr>
            </w:pPr>
            <w:r w:rsidRPr="00ED5EDA">
              <w:rPr>
                <w:rFonts w:ascii="Arial" w:eastAsia="Arial" w:hAnsi="Arial" w:cs="Arial"/>
                <w:bCs/>
                <w:sz w:val="22"/>
                <w:szCs w:val="22"/>
              </w:rPr>
              <w:t>Malignant pleural effusion (MPE) is a complication of advanced cancer that can result in limited life expectancy and significant morbidity. Recurrence of MPE is common and definitive management with either pleurodesis or indwelling pleural catheter (IPC) insertion is often required. This study aim</w:t>
            </w:r>
            <w:r w:rsidR="008A23D2" w:rsidRPr="00ED5EDA">
              <w:rPr>
                <w:rFonts w:ascii="Arial" w:eastAsia="Arial" w:hAnsi="Arial" w:cs="Arial"/>
                <w:bCs/>
                <w:sz w:val="22"/>
                <w:szCs w:val="22"/>
              </w:rPr>
              <w:t>ed</w:t>
            </w:r>
            <w:r w:rsidRPr="00ED5EDA">
              <w:rPr>
                <w:rFonts w:ascii="Arial" w:eastAsia="Arial" w:hAnsi="Arial" w:cs="Arial"/>
                <w:bCs/>
                <w:sz w:val="22"/>
                <w:szCs w:val="22"/>
              </w:rPr>
              <w:t xml:space="preserve"> to review the management of MPE at two tertiary hospitals to identify</w:t>
            </w:r>
            <w:r w:rsidR="008A23D2" w:rsidRPr="00ED5EDA">
              <w:rPr>
                <w:rFonts w:ascii="Arial" w:eastAsia="Arial" w:hAnsi="Arial" w:cs="Arial"/>
                <w:bCs/>
                <w:sz w:val="22"/>
                <w:szCs w:val="22"/>
              </w:rPr>
              <w:t xml:space="preserve"> potential areas for improvement</w:t>
            </w:r>
            <w:r w:rsidRPr="00ED5EDA">
              <w:rPr>
                <w:rFonts w:ascii="Arial" w:eastAsia="Arial" w:hAnsi="Arial" w:cs="Arial"/>
                <w:bCs/>
                <w:sz w:val="22"/>
                <w:szCs w:val="22"/>
              </w:rPr>
              <w:t xml:space="preserve"> with an emphasis on the hospital length of stay, frequency of non-definitive pleural procedures and frequency of unplanned pleural related admissions.</w:t>
            </w:r>
          </w:p>
          <w:p w14:paraId="3D770CF7" w14:textId="59407C80" w:rsidR="001564A4" w:rsidRPr="00ED5EDA" w:rsidRDefault="001564A4" w:rsidP="000A28E2">
            <w:pPr>
              <w:pStyle w:val="Pa12"/>
              <w:rPr>
                <w:rStyle w:val="A4"/>
                <w:color w:val="auto"/>
              </w:rPr>
            </w:pPr>
          </w:p>
          <w:p w14:paraId="1B39336E" w14:textId="77777777" w:rsidR="001564A4" w:rsidRPr="00ED5EDA" w:rsidRDefault="001564A4" w:rsidP="000A28E2">
            <w:pPr>
              <w:pStyle w:val="Pa12"/>
              <w:rPr>
                <w:rStyle w:val="A4"/>
                <w:b/>
                <w:bCs/>
              </w:rPr>
            </w:pPr>
            <w:r w:rsidRPr="00ED5EDA">
              <w:rPr>
                <w:rStyle w:val="A4"/>
                <w:b/>
                <w:bCs/>
              </w:rPr>
              <w:t xml:space="preserve">Methods: </w:t>
            </w:r>
          </w:p>
          <w:p w14:paraId="1D1F55C8" w14:textId="662EF42A" w:rsidR="008A23D2" w:rsidRPr="00ED5EDA" w:rsidRDefault="008A23D2" w:rsidP="008A23D2">
            <w:pPr>
              <w:rPr>
                <w:rFonts w:ascii="Arial" w:eastAsia="Arial" w:hAnsi="Arial" w:cs="Arial"/>
                <w:sz w:val="22"/>
                <w:szCs w:val="22"/>
              </w:rPr>
            </w:pPr>
            <w:r w:rsidRPr="00ED5EDA">
              <w:rPr>
                <w:rFonts w:ascii="Arial" w:eastAsia="Arial" w:hAnsi="Arial" w:cs="Arial"/>
                <w:sz w:val="22"/>
                <w:szCs w:val="22"/>
              </w:rPr>
              <w:t>Retrospective audit of all patients diagnosed with MPE</w:t>
            </w:r>
            <w:r w:rsidR="00EE449D">
              <w:rPr>
                <w:rFonts w:ascii="Arial" w:eastAsia="Arial" w:hAnsi="Arial" w:cs="Arial"/>
                <w:sz w:val="22"/>
                <w:szCs w:val="22"/>
              </w:rPr>
              <w:t xml:space="preserve"> at Western Health</w:t>
            </w:r>
            <w:r w:rsidRPr="00ED5EDA">
              <w:rPr>
                <w:rFonts w:ascii="Arial" w:eastAsia="Arial" w:hAnsi="Arial" w:cs="Arial"/>
                <w:sz w:val="22"/>
                <w:szCs w:val="22"/>
              </w:rPr>
              <w:t xml:space="preserve"> over a 3-year period. </w:t>
            </w:r>
          </w:p>
          <w:p w14:paraId="5029BAE6" w14:textId="77777777" w:rsidR="001564A4" w:rsidRPr="00ED5EDA" w:rsidRDefault="001564A4" w:rsidP="000A28E2">
            <w:pPr>
              <w:pStyle w:val="Pa12"/>
              <w:rPr>
                <w:rStyle w:val="A4"/>
                <w:bCs/>
              </w:rPr>
            </w:pPr>
          </w:p>
          <w:p w14:paraId="6BF3F094" w14:textId="77777777" w:rsidR="001564A4" w:rsidRPr="00ED5EDA" w:rsidRDefault="001564A4" w:rsidP="000A28E2">
            <w:pPr>
              <w:pStyle w:val="Pa12"/>
              <w:rPr>
                <w:rStyle w:val="A4"/>
                <w:b/>
                <w:bCs/>
              </w:rPr>
            </w:pPr>
            <w:r w:rsidRPr="00ED5EDA">
              <w:rPr>
                <w:rStyle w:val="A4"/>
                <w:b/>
                <w:bCs/>
              </w:rPr>
              <w:t xml:space="preserve">Results: </w:t>
            </w:r>
          </w:p>
          <w:p w14:paraId="036E3672" w14:textId="77777777" w:rsidR="008A23D2" w:rsidRPr="00ED5EDA" w:rsidRDefault="008A23D2" w:rsidP="008A23D2">
            <w:pPr>
              <w:rPr>
                <w:rFonts w:ascii="Arial" w:eastAsia="Arial" w:hAnsi="Arial" w:cs="Arial"/>
                <w:sz w:val="22"/>
                <w:szCs w:val="22"/>
              </w:rPr>
            </w:pPr>
            <w:r w:rsidRPr="00ED5EDA">
              <w:rPr>
                <w:rFonts w:ascii="Arial" w:eastAsia="Arial" w:hAnsi="Arial" w:cs="Arial"/>
                <w:sz w:val="22"/>
                <w:szCs w:val="22"/>
              </w:rPr>
              <w:t>79 patients with MPE were identified during the time period (mean age 66.1 years, 59% female). 25 patients (13.1%) had a non-definitive pleural procedure following diagnosis, including 16 (38.1%) of the 42 patients who subsequently went on to have a definitive procedure. The median hospital length of stay for pleural effusion related hospitalisations was 9 days. 22 of the 42 pleural effusion-related admissions occurred after a presentation via the emergency department (ED). When compared with planned admissions, those who presented via ED had a higher rate of non-definitive procedures (77% vs 25%) and a longer length of stay (12 vs 7 days).</w:t>
            </w:r>
          </w:p>
          <w:p w14:paraId="68537800" w14:textId="3BC0775C" w:rsidR="001564A4" w:rsidRPr="00ED5EDA" w:rsidRDefault="001564A4" w:rsidP="000A28E2">
            <w:pPr>
              <w:pStyle w:val="Pa12"/>
              <w:rPr>
                <w:rStyle w:val="A4"/>
                <w:color w:val="auto"/>
              </w:rPr>
            </w:pPr>
          </w:p>
          <w:p w14:paraId="652F7BE1" w14:textId="77777777" w:rsidR="001564A4" w:rsidRPr="00ED5EDA" w:rsidRDefault="001564A4" w:rsidP="000A28E2">
            <w:pPr>
              <w:pStyle w:val="Pa12"/>
              <w:rPr>
                <w:rStyle w:val="A4"/>
                <w:b/>
                <w:bCs/>
              </w:rPr>
            </w:pPr>
            <w:r w:rsidRPr="00ED5EDA">
              <w:rPr>
                <w:rStyle w:val="A4"/>
                <w:b/>
                <w:bCs/>
              </w:rPr>
              <w:t xml:space="preserve">Conclusion: </w:t>
            </w:r>
          </w:p>
          <w:p w14:paraId="64908684" w14:textId="0B765FCF" w:rsidR="008A23D2" w:rsidRPr="00ED5EDA" w:rsidRDefault="008A23D2" w:rsidP="008A23D2">
            <w:pPr>
              <w:rPr>
                <w:rFonts w:ascii="Arial" w:eastAsia="Arial" w:hAnsi="Arial" w:cs="Arial"/>
                <w:sz w:val="22"/>
                <w:szCs w:val="22"/>
              </w:rPr>
            </w:pPr>
            <w:r w:rsidRPr="00ED5EDA">
              <w:rPr>
                <w:rFonts w:ascii="Arial" w:eastAsia="Arial" w:hAnsi="Arial" w:cs="Arial"/>
                <w:sz w:val="22"/>
                <w:szCs w:val="22"/>
              </w:rPr>
              <w:t xml:space="preserve">The pleural effusion-related hospital length of stay was in line with previously published Australasian data. Despite this, our data suggests that there </w:t>
            </w:r>
            <w:r w:rsidR="00F00C1E">
              <w:rPr>
                <w:rFonts w:ascii="Arial" w:eastAsia="Arial" w:hAnsi="Arial" w:cs="Arial"/>
                <w:sz w:val="22"/>
                <w:szCs w:val="22"/>
              </w:rPr>
              <w:t>might</w:t>
            </w:r>
            <w:r w:rsidRPr="00ED5EDA">
              <w:rPr>
                <w:rFonts w:ascii="Arial" w:eastAsia="Arial" w:hAnsi="Arial" w:cs="Arial"/>
                <w:sz w:val="22"/>
                <w:szCs w:val="22"/>
              </w:rPr>
              <w:t xml:space="preserve"> still be scope for improvement. In particular, our data has suggested that interventions to reduce the number of unplanned admissions via ED </w:t>
            </w:r>
            <w:r w:rsidR="00F00C1E">
              <w:rPr>
                <w:rFonts w:ascii="Arial" w:eastAsia="Arial" w:hAnsi="Arial" w:cs="Arial"/>
                <w:sz w:val="22"/>
                <w:szCs w:val="22"/>
              </w:rPr>
              <w:t>might</w:t>
            </w:r>
            <w:r w:rsidRPr="00ED5EDA">
              <w:rPr>
                <w:rFonts w:ascii="Arial" w:eastAsia="Arial" w:hAnsi="Arial" w:cs="Arial"/>
                <w:sz w:val="22"/>
                <w:szCs w:val="22"/>
              </w:rPr>
              <w:t xml:space="preserve"> result in a reduced rate of non-definitive procedures and a reduced hospital length of stay. Future research could assess the impact of interventions such as the introduction of dedicated pleural clinic or a streamlined admissions pathway on these measures.</w:t>
            </w:r>
          </w:p>
          <w:p w14:paraId="196E7BAC" w14:textId="3650EA7D" w:rsidR="001564A4" w:rsidRPr="00ED5EDA" w:rsidRDefault="001564A4" w:rsidP="000A28E2">
            <w:pPr>
              <w:pStyle w:val="Pa12"/>
              <w:rPr>
                <w:rStyle w:val="A4"/>
                <w:color w:val="auto"/>
              </w:rPr>
            </w:pPr>
          </w:p>
          <w:p w14:paraId="3E8B4283" w14:textId="77777777" w:rsidR="001564A4" w:rsidRPr="00ED5EDA" w:rsidRDefault="001564A4" w:rsidP="000A28E2">
            <w:pPr>
              <w:pStyle w:val="Pa12"/>
              <w:rPr>
                <w:rStyle w:val="A4"/>
                <w:b/>
                <w:bCs/>
              </w:rPr>
            </w:pPr>
            <w:r w:rsidRPr="00ED5EDA">
              <w:rPr>
                <w:rStyle w:val="A4"/>
                <w:b/>
                <w:bCs/>
              </w:rPr>
              <w:t xml:space="preserve">Grant Support: </w:t>
            </w:r>
          </w:p>
          <w:p w14:paraId="7F8381F0" w14:textId="116380A6" w:rsidR="001564A4" w:rsidRDefault="008A23D2" w:rsidP="000A28E2">
            <w:pPr>
              <w:pStyle w:val="Pa12"/>
              <w:rPr>
                <w:sz w:val="22"/>
                <w:szCs w:val="22"/>
              </w:rPr>
            </w:pPr>
            <w:r w:rsidRPr="00ED5EDA">
              <w:rPr>
                <w:sz w:val="22"/>
                <w:szCs w:val="22"/>
              </w:rPr>
              <w:t>N/A</w:t>
            </w:r>
            <w:r w:rsidR="001564A4" w:rsidRPr="00ED5EDA">
              <w:rPr>
                <w:sz w:val="22"/>
                <w:szCs w:val="22"/>
              </w:rPr>
              <w:br/>
            </w:r>
            <w:r w:rsidR="001564A4" w:rsidRPr="008A23D2">
              <w:rPr>
                <w:sz w:val="22"/>
                <w:szCs w:val="22"/>
              </w:rPr>
              <w:br/>
            </w:r>
            <w:r w:rsidR="001564A4" w:rsidRPr="008A23D2">
              <w:rPr>
                <w:sz w:val="22"/>
                <w:szCs w:val="22"/>
              </w:rPr>
              <w:br/>
            </w:r>
            <w:r w:rsidR="001564A4" w:rsidRPr="008A23D2">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7C36A9DC" w14:textId="32A70617" w:rsidR="00E0700F" w:rsidRDefault="00E0700F" w:rsidP="001564A4"/>
    <w:sectPr w:rsidR="00E070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4A4"/>
    <w:rsid w:val="001564A4"/>
    <w:rsid w:val="0051574E"/>
    <w:rsid w:val="008803FA"/>
    <w:rsid w:val="008A23D2"/>
    <w:rsid w:val="00975515"/>
    <w:rsid w:val="00AE719F"/>
    <w:rsid w:val="00B12E32"/>
    <w:rsid w:val="00B50E04"/>
    <w:rsid w:val="00E0700F"/>
    <w:rsid w:val="00EA2FD0"/>
    <w:rsid w:val="00ED5EDA"/>
    <w:rsid w:val="00EE449D"/>
    <w:rsid w:val="00F00C1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2.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961898-40DD-42B0-A9FA-52244C88F073}">
  <ds:schemaRefs>
    <ds:schemaRef ds:uri="http://schemas.microsoft.com/office/2006/documentManagement/types"/>
    <ds:schemaRef ds:uri="http://purl.org/dc/terms/"/>
    <ds:schemaRef ds:uri="6911e96c-4cc4-42d5-8e43-f93924cf6a05"/>
    <ds:schemaRef ds:uri="http://schemas.microsoft.com/office/infopath/2007/PartnerControls"/>
    <ds:schemaRef ds:uri="http://purl.org/dc/elements/1.1/"/>
    <ds:schemaRef ds:uri="http://schemas.openxmlformats.org/package/2006/metadata/core-properties"/>
    <ds:schemaRef ds:uri="9c8a2b7b-0bee-4c48-b0a6-23db8982d3bc"/>
    <ds:schemaRef ds:uri="cab52c9b-ab33-4221-8af9-54f8f2b86a80"/>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347</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Leah McLeod</cp:lastModifiedBy>
  <cp:revision>2</cp:revision>
  <dcterms:created xsi:type="dcterms:W3CDTF">2023-09-28T03:29:00Z</dcterms:created>
  <dcterms:modified xsi:type="dcterms:W3CDTF">2023-09-28T03:29:00Z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