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1564A4" w:rsidRPr="0050053A" w14:paraId="5C38377B" w14:textId="77777777" w:rsidTr="0089117C">
        <w:trPr>
          <w:trHeight w:val="558"/>
          <w:jc w:val="center"/>
        </w:trPr>
        <w:tc>
          <w:tcPr>
            <w:tcW w:w="10485" w:type="dxa"/>
            <w:shd w:val="clear" w:color="auto" w:fill="auto"/>
          </w:tcPr>
          <w:p w14:paraId="36692C72" w14:textId="77777777" w:rsidR="00964975" w:rsidRPr="0089117C" w:rsidRDefault="00964975" w:rsidP="00964975">
            <w:pPr>
              <w:rPr>
                <w:rFonts w:ascii="Arial" w:hAnsi="Arial" w:cs="Arial"/>
                <w:b/>
                <w:bCs/>
                <w:sz w:val="22"/>
                <w:szCs w:val="22"/>
              </w:rPr>
            </w:pPr>
            <w:r w:rsidRPr="0089117C">
              <w:rPr>
                <w:rFonts w:ascii="Arial" w:hAnsi="Arial" w:cs="Arial"/>
                <w:b/>
                <w:bCs/>
                <w:sz w:val="22"/>
                <w:szCs w:val="22"/>
              </w:rPr>
              <w:t>Effectiveness of vaping cessation interventions: rapid review of global evidence</w:t>
            </w:r>
          </w:p>
          <w:p w14:paraId="5C44F357" w14:textId="3707843F" w:rsidR="001564A4" w:rsidRPr="0050053A" w:rsidRDefault="001564A4" w:rsidP="000A28E2">
            <w:pPr>
              <w:spacing w:before="120" w:after="120"/>
              <w:rPr>
                <w:rFonts w:ascii="Arial" w:hAnsi="Arial" w:cs="Arial"/>
                <w:b/>
                <w:sz w:val="22"/>
                <w:szCs w:val="22"/>
                <w:lang w:val="en-US" w:eastAsia="zh-CN"/>
              </w:rPr>
            </w:pPr>
          </w:p>
        </w:tc>
      </w:tr>
      <w:tr w:rsidR="001564A4" w:rsidRPr="0050053A" w14:paraId="0E2E035C" w14:textId="77777777" w:rsidTr="0089117C">
        <w:trPr>
          <w:trHeight w:val="837"/>
          <w:jc w:val="center"/>
        </w:trPr>
        <w:tc>
          <w:tcPr>
            <w:tcW w:w="10485" w:type="dxa"/>
            <w:shd w:val="clear" w:color="auto" w:fill="auto"/>
          </w:tcPr>
          <w:p w14:paraId="73B55295" w14:textId="6C254662" w:rsidR="001564A4" w:rsidRPr="00413B94" w:rsidRDefault="00964975" w:rsidP="000A28E2">
            <w:pPr>
              <w:spacing w:before="120" w:after="120"/>
              <w:rPr>
                <w:rFonts w:ascii="Arial" w:hAnsi="Arial" w:cs="Arial"/>
                <w:sz w:val="22"/>
                <w:szCs w:val="22"/>
                <w:u w:val="single"/>
                <w:lang w:eastAsia="zh-CN"/>
              </w:rPr>
            </w:pPr>
            <w:r>
              <w:rPr>
                <w:rFonts w:ascii="Arial" w:hAnsi="Arial" w:cs="Arial"/>
                <w:sz w:val="22"/>
                <w:szCs w:val="22"/>
                <w:lang w:val="en-US" w:eastAsia="en-GB"/>
              </w:rPr>
              <w:t>Tahlia Grammatopoulos</w:t>
            </w:r>
            <w:r w:rsidR="001564A4" w:rsidRPr="00413B94">
              <w:rPr>
                <w:rFonts w:ascii="Arial" w:hAnsi="Arial" w:cs="Arial"/>
                <w:sz w:val="22"/>
                <w:szCs w:val="22"/>
                <w:vertAlign w:val="superscript"/>
                <w:lang w:val="en-US" w:eastAsia="en-GB"/>
              </w:rPr>
              <w:t>1</w:t>
            </w:r>
            <w:bookmarkStart w:id="0" w:name="Text8"/>
            <w:r w:rsidR="00305085">
              <w:rPr>
                <w:rFonts w:ascii="Arial" w:hAnsi="Arial" w:cs="Arial"/>
                <w:sz w:val="22"/>
                <w:szCs w:val="22"/>
                <w:vertAlign w:val="superscript"/>
                <w:lang w:val="en-US" w:eastAsia="en-GB"/>
              </w:rPr>
              <w:t>,3</w:t>
            </w:r>
            <w:r w:rsidR="001564A4" w:rsidRPr="00413B94">
              <w:rPr>
                <w:rFonts w:ascii="Arial" w:hAnsi="Arial" w:cs="Arial"/>
                <w:sz w:val="22"/>
                <w:szCs w:val="22"/>
                <w:lang w:val="en-US" w:eastAsia="en-GB"/>
              </w:rPr>
              <w:t>,</w:t>
            </w:r>
            <w:bookmarkEnd w:id="0"/>
            <w:r w:rsidR="00F71574">
              <w:rPr>
                <w:rFonts w:ascii="Arial" w:hAnsi="Arial" w:cs="Arial"/>
                <w:sz w:val="22"/>
                <w:szCs w:val="22"/>
                <w:lang w:val="en-US" w:eastAsia="en-GB"/>
              </w:rPr>
              <w:t xml:space="preserve"> </w:t>
            </w:r>
            <w:r>
              <w:rPr>
                <w:rFonts w:ascii="Arial" w:hAnsi="Arial" w:cs="Arial"/>
                <w:sz w:val="22"/>
                <w:szCs w:val="22"/>
                <w:lang w:val="en-US" w:eastAsia="en-GB"/>
              </w:rPr>
              <w:t>Damon Phillips-Chantelois</w:t>
            </w:r>
            <w:r w:rsidR="00F71574">
              <w:rPr>
                <w:rFonts w:ascii="Arial" w:hAnsi="Arial" w:cs="Arial"/>
                <w:sz w:val="22"/>
                <w:szCs w:val="22"/>
                <w:vertAlign w:val="superscript"/>
                <w:lang w:val="en-US" w:eastAsia="en-GB"/>
              </w:rPr>
              <w:t>1</w:t>
            </w:r>
            <w:r w:rsidR="00305085">
              <w:rPr>
                <w:rFonts w:ascii="Arial" w:hAnsi="Arial" w:cs="Arial"/>
                <w:sz w:val="22"/>
                <w:szCs w:val="22"/>
                <w:vertAlign w:val="superscript"/>
                <w:lang w:val="en-US" w:eastAsia="en-GB"/>
              </w:rPr>
              <w:t>,3</w:t>
            </w:r>
            <w:r w:rsidR="001564A4" w:rsidRPr="00413B94">
              <w:rPr>
                <w:rFonts w:ascii="Arial" w:hAnsi="Arial" w:cs="Arial"/>
                <w:sz w:val="22"/>
                <w:szCs w:val="22"/>
                <w:lang w:val="en-US" w:eastAsia="en-GB"/>
              </w:rPr>
              <w:t>,</w:t>
            </w:r>
            <w:r>
              <w:rPr>
                <w:rFonts w:ascii="Arial" w:hAnsi="Arial" w:cs="Arial"/>
                <w:sz w:val="22"/>
                <w:szCs w:val="22"/>
                <w:lang w:val="en-US" w:eastAsia="en-GB"/>
              </w:rPr>
              <w:t xml:space="preserve"> Kelsey Sharrad</w:t>
            </w:r>
            <w:r w:rsidR="00F71574">
              <w:rPr>
                <w:rFonts w:ascii="Arial" w:hAnsi="Arial" w:cs="Arial"/>
                <w:sz w:val="22"/>
                <w:szCs w:val="22"/>
                <w:vertAlign w:val="superscript"/>
                <w:lang w:val="en-US" w:eastAsia="en-GB"/>
              </w:rPr>
              <w:t>1</w:t>
            </w:r>
            <w:r w:rsidR="00305085">
              <w:rPr>
                <w:rFonts w:ascii="Arial" w:hAnsi="Arial" w:cs="Arial"/>
                <w:sz w:val="22"/>
                <w:szCs w:val="22"/>
                <w:vertAlign w:val="superscript"/>
                <w:lang w:val="en-US" w:eastAsia="en-GB"/>
              </w:rPr>
              <w:t>,3</w:t>
            </w:r>
            <w:r w:rsidR="001564A4" w:rsidRPr="00413B94">
              <w:rPr>
                <w:rFonts w:ascii="Arial" w:hAnsi="Arial" w:cs="Arial"/>
                <w:sz w:val="22"/>
                <w:szCs w:val="22"/>
                <w:lang w:val="en-US" w:eastAsia="en-GB"/>
              </w:rPr>
              <w:t>,</w:t>
            </w:r>
            <w:r w:rsidR="00F71574">
              <w:rPr>
                <w:rFonts w:ascii="Arial" w:hAnsi="Arial" w:cs="Arial"/>
                <w:sz w:val="22"/>
                <w:szCs w:val="22"/>
                <w:lang w:val="en-US" w:eastAsia="en-GB"/>
              </w:rPr>
              <w:t xml:space="preserve"> </w:t>
            </w:r>
            <w:r>
              <w:rPr>
                <w:rFonts w:ascii="Arial" w:hAnsi="Arial" w:cs="Arial"/>
                <w:sz w:val="22"/>
                <w:szCs w:val="22"/>
                <w:lang w:val="en-US" w:eastAsia="en-GB"/>
              </w:rPr>
              <w:t>Shagufta Perveen</w:t>
            </w:r>
            <w:r w:rsidR="00C52319">
              <w:rPr>
                <w:rFonts w:ascii="Arial" w:hAnsi="Arial" w:cs="Arial"/>
                <w:sz w:val="22"/>
                <w:szCs w:val="22"/>
                <w:vertAlign w:val="superscript"/>
                <w:lang w:val="en-US" w:eastAsia="en-GB"/>
              </w:rPr>
              <w:t>2,3</w:t>
            </w:r>
            <w:r w:rsidR="001564A4" w:rsidRPr="00413B94">
              <w:rPr>
                <w:rFonts w:ascii="Arial" w:hAnsi="Arial" w:cs="Arial"/>
                <w:sz w:val="22"/>
                <w:szCs w:val="22"/>
                <w:lang w:val="en-US" w:eastAsia="en-GB"/>
              </w:rPr>
              <w:t>,</w:t>
            </w:r>
            <w:r>
              <w:rPr>
                <w:rFonts w:ascii="Arial" w:hAnsi="Arial" w:cs="Arial"/>
                <w:sz w:val="22"/>
                <w:szCs w:val="22"/>
                <w:lang w:val="en-US" w:eastAsia="en-GB"/>
              </w:rPr>
              <w:t xml:space="preserve"> Kristin Carson-Chahhoud</w:t>
            </w:r>
            <w:r w:rsidR="00305085">
              <w:rPr>
                <w:rFonts w:ascii="Arial" w:hAnsi="Arial" w:cs="Arial"/>
                <w:sz w:val="22"/>
                <w:szCs w:val="22"/>
                <w:vertAlign w:val="superscript"/>
                <w:lang w:val="en-US" w:eastAsia="en-GB"/>
              </w:rPr>
              <w:t>1,3</w:t>
            </w:r>
            <w:r w:rsidR="00257E48">
              <w:rPr>
                <w:rFonts w:ascii="Arial" w:hAnsi="Arial" w:cs="Arial"/>
                <w:sz w:val="22"/>
                <w:szCs w:val="22"/>
                <w:vertAlign w:val="superscript"/>
                <w:lang w:val="en-US" w:eastAsia="en-GB"/>
              </w:rPr>
              <w:t>,4</w:t>
            </w:r>
          </w:p>
        </w:tc>
      </w:tr>
      <w:tr w:rsidR="001564A4" w:rsidRPr="0050053A" w14:paraId="385A19D9" w14:textId="77777777" w:rsidTr="0089117C">
        <w:trPr>
          <w:trHeight w:val="1247"/>
          <w:jc w:val="center"/>
        </w:trPr>
        <w:tc>
          <w:tcPr>
            <w:tcW w:w="10485" w:type="dxa"/>
            <w:shd w:val="clear" w:color="auto" w:fill="auto"/>
          </w:tcPr>
          <w:p w14:paraId="1643A330" w14:textId="74350F0E"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F71574">
              <w:rPr>
                <w:rFonts w:ascii="Arial" w:hAnsi="Arial" w:cs="Arial"/>
                <w:i/>
                <w:sz w:val="22"/>
                <w:szCs w:val="22"/>
                <w:lang w:val="en-US" w:eastAsia="en-GB"/>
              </w:rPr>
              <w:t>Faculty of Health and Medical Sciences, School of Medicine, University of Adelaide, South Australia</w:t>
            </w:r>
            <w:r w:rsidR="00305085">
              <w:rPr>
                <w:rFonts w:ascii="Arial" w:hAnsi="Arial" w:cs="Arial"/>
                <w:i/>
                <w:sz w:val="22"/>
                <w:szCs w:val="22"/>
                <w:lang w:val="en-US" w:eastAsia="en-GB"/>
              </w:rPr>
              <w:t>,</w:t>
            </w:r>
            <w:r w:rsidR="00F71574">
              <w:rPr>
                <w:rFonts w:ascii="Arial" w:hAnsi="Arial" w:cs="Arial"/>
                <w:i/>
                <w:sz w:val="22"/>
                <w:szCs w:val="22"/>
                <w:lang w:val="en-US" w:eastAsia="en-GB"/>
              </w:rPr>
              <w:t xml:space="preserve"> Australia</w:t>
            </w:r>
          </w:p>
          <w:p w14:paraId="6D6976E2" w14:textId="7DE58033" w:rsidR="00305085" w:rsidRDefault="001564A4" w:rsidP="00305085">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sidR="00305085">
              <w:rPr>
                <w:rFonts w:ascii="Arial" w:hAnsi="Arial" w:cs="Arial"/>
                <w:i/>
                <w:sz w:val="22"/>
                <w:szCs w:val="22"/>
                <w:lang w:val="en-US" w:eastAsia="en-GB"/>
              </w:rPr>
              <w:t xml:space="preserve"> Faculty of Health and Medical Sciences, School of Public Health, University of Adelaide, South Australia, Australia</w:t>
            </w:r>
          </w:p>
          <w:p w14:paraId="4C8C3644" w14:textId="58F5716E" w:rsidR="00305085" w:rsidRPr="00305085" w:rsidRDefault="00305085" w:rsidP="00305085">
            <w:pPr>
              <w:spacing w:before="120" w:after="120"/>
              <w:rPr>
                <w:rFonts w:ascii="Arial" w:hAnsi="Arial" w:cs="Arial"/>
                <w:i/>
                <w:sz w:val="22"/>
                <w:szCs w:val="22"/>
                <w:vertAlign w:val="superscript"/>
                <w:lang w:val="en-US" w:eastAsia="en-GB"/>
              </w:rPr>
            </w:pPr>
            <w:r w:rsidRPr="00305085">
              <w:rPr>
                <w:rFonts w:ascii="Arial" w:hAnsi="Arial" w:cs="Arial"/>
                <w:i/>
                <w:sz w:val="22"/>
                <w:szCs w:val="22"/>
                <w:vertAlign w:val="superscript"/>
                <w:lang w:val="en-US" w:eastAsia="en-GB"/>
              </w:rPr>
              <w:t>3</w:t>
            </w:r>
            <w:r>
              <w:rPr>
                <w:rFonts w:ascii="Arial" w:hAnsi="Arial" w:cs="Arial"/>
                <w:i/>
                <w:sz w:val="22"/>
                <w:szCs w:val="22"/>
                <w:vertAlign w:val="superscript"/>
                <w:lang w:val="en-US" w:eastAsia="en-GB"/>
              </w:rPr>
              <w:t xml:space="preserve"> </w:t>
            </w:r>
            <w:r w:rsidRPr="00305085">
              <w:rPr>
                <w:rFonts w:ascii="Arial" w:hAnsi="Arial" w:cs="Arial"/>
                <w:i/>
                <w:sz w:val="22"/>
                <w:szCs w:val="22"/>
                <w:lang w:val="en-US" w:eastAsia="en-GB"/>
              </w:rPr>
              <w:t>Houd Research Group</w:t>
            </w:r>
            <w:r w:rsidR="005B73F9">
              <w:rPr>
                <w:rFonts w:ascii="Arial" w:hAnsi="Arial" w:cs="Arial"/>
                <w:i/>
                <w:sz w:val="22"/>
                <w:szCs w:val="22"/>
                <w:lang w:val="en-US" w:eastAsia="en-GB"/>
              </w:rPr>
              <w:t>, Houd Enterprises, South Australia, Australia</w:t>
            </w:r>
          </w:p>
          <w:p w14:paraId="3BD815D8" w14:textId="7DE4B8BF" w:rsidR="001564A4" w:rsidRPr="00257E48" w:rsidRDefault="00257E48" w:rsidP="000A28E2">
            <w:pPr>
              <w:spacing w:before="120" w:after="120"/>
              <w:rPr>
                <w:rFonts w:ascii="Arial" w:hAnsi="Arial" w:cs="Arial"/>
                <w:i/>
                <w:sz w:val="22"/>
                <w:szCs w:val="22"/>
                <w:lang w:val="en-US" w:eastAsia="en-GB"/>
              </w:rPr>
            </w:pPr>
            <w:r w:rsidRPr="00257E48">
              <w:rPr>
                <w:rFonts w:ascii="Arial" w:hAnsi="Arial" w:cs="Arial"/>
                <w:i/>
                <w:sz w:val="22"/>
                <w:szCs w:val="22"/>
                <w:vertAlign w:val="superscript"/>
                <w:lang w:val="en-US" w:eastAsia="en-GB"/>
              </w:rPr>
              <w:t>4</w:t>
            </w:r>
            <w:r>
              <w:rPr>
                <w:rFonts w:ascii="Arial" w:hAnsi="Arial" w:cs="Arial"/>
                <w:i/>
                <w:sz w:val="22"/>
                <w:szCs w:val="22"/>
                <w:vertAlign w:val="superscript"/>
                <w:lang w:val="en-US" w:eastAsia="en-GB"/>
              </w:rPr>
              <w:t xml:space="preserve"> </w:t>
            </w:r>
            <w:r>
              <w:rPr>
                <w:rFonts w:ascii="Arial" w:hAnsi="Arial" w:cs="Arial"/>
                <w:i/>
                <w:sz w:val="22"/>
                <w:szCs w:val="22"/>
                <w:lang w:val="en-US" w:eastAsia="en-GB"/>
              </w:rPr>
              <w:t xml:space="preserve">Allied Health and Human Performance, University of South Australia, South Australia, Australia </w:t>
            </w:r>
          </w:p>
          <w:p w14:paraId="45ED36BF" w14:textId="76DB0A9C" w:rsidR="001564A4" w:rsidRPr="0050053A" w:rsidRDefault="001564A4" w:rsidP="00F71574">
            <w:pPr>
              <w:spacing w:before="120" w:after="120"/>
              <w:rPr>
                <w:rFonts w:ascii="Arial" w:hAnsi="Arial" w:cs="Arial"/>
                <w:i/>
                <w:sz w:val="22"/>
                <w:szCs w:val="22"/>
                <w:lang w:val="en-US" w:eastAsia="en-GB"/>
              </w:rPr>
            </w:pPr>
          </w:p>
        </w:tc>
      </w:tr>
      <w:tr w:rsidR="001564A4" w:rsidRPr="0050053A" w14:paraId="6DAF615A" w14:textId="77777777" w:rsidTr="0089117C">
        <w:trPr>
          <w:trHeight w:hRule="exact" w:val="9383"/>
          <w:jc w:val="center"/>
        </w:trPr>
        <w:tc>
          <w:tcPr>
            <w:tcW w:w="10485" w:type="dxa"/>
            <w:shd w:val="clear" w:color="auto" w:fill="auto"/>
          </w:tcPr>
          <w:p w14:paraId="40FCFCB4" w14:textId="72469A10" w:rsidR="00F71574" w:rsidRPr="00305085" w:rsidRDefault="001564A4" w:rsidP="00305085">
            <w:pPr>
              <w:pStyle w:val="Pa12"/>
              <w:rPr>
                <w:color w:val="000000"/>
                <w:sz w:val="22"/>
                <w:szCs w:val="22"/>
              </w:rPr>
            </w:pPr>
            <w:r w:rsidRPr="00305085">
              <w:rPr>
                <w:rStyle w:val="A4"/>
                <w:b/>
                <w:bCs/>
              </w:rPr>
              <w:t xml:space="preserve">Introduction/Aim: </w:t>
            </w:r>
            <w:r w:rsidR="00F71574" w:rsidRPr="00305085">
              <w:rPr>
                <w:sz w:val="22"/>
                <w:szCs w:val="22"/>
              </w:rPr>
              <w:t xml:space="preserve">The use of e-cigarettes (vaping) is now considered a global crisis. Vaping is linked to serious adverse health consequences, and is associated with the uptake of cigarette smoking, which is attributable to 13% of Australian deaths each year. Interventions for vaping cessation are urgently required to support policymakers’ efforts to address this issue. This rapid review aims to synthesise the evidence surrounding the effectiveness of vaping cessation interventions, to inform recommendations for interim quit-vaping guidelines. </w:t>
            </w:r>
          </w:p>
          <w:p w14:paraId="3FC650F3" w14:textId="5AC9F709" w:rsidR="00F71574" w:rsidRPr="00305085" w:rsidRDefault="001564A4" w:rsidP="00305085">
            <w:pPr>
              <w:pStyle w:val="Pa12"/>
              <w:rPr>
                <w:sz w:val="22"/>
                <w:szCs w:val="22"/>
              </w:rPr>
            </w:pPr>
            <w:r w:rsidRPr="00305085">
              <w:rPr>
                <w:sz w:val="22"/>
                <w:szCs w:val="22"/>
              </w:rPr>
              <w:br/>
            </w:r>
            <w:r w:rsidRPr="00305085">
              <w:rPr>
                <w:rStyle w:val="A4"/>
                <w:b/>
                <w:bCs/>
              </w:rPr>
              <w:t xml:space="preserve">Methods: </w:t>
            </w:r>
            <w:r w:rsidR="00F71574" w:rsidRPr="00305085">
              <w:rPr>
                <w:sz w:val="22"/>
                <w:szCs w:val="22"/>
              </w:rPr>
              <w:t xml:space="preserve">The </w:t>
            </w:r>
            <w:r w:rsidR="00CB0F6E" w:rsidRPr="00305085">
              <w:rPr>
                <w:sz w:val="22"/>
                <w:szCs w:val="22"/>
              </w:rPr>
              <w:t>Preferred Reporting Items for Systematic Reviews (</w:t>
            </w:r>
            <w:r w:rsidR="00F71574" w:rsidRPr="00305085">
              <w:rPr>
                <w:sz w:val="22"/>
                <w:szCs w:val="22"/>
              </w:rPr>
              <w:t>PRISMA</w:t>
            </w:r>
            <w:r w:rsidR="00CB0F6E" w:rsidRPr="00305085">
              <w:rPr>
                <w:sz w:val="22"/>
                <w:szCs w:val="22"/>
              </w:rPr>
              <w:t>)</w:t>
            </w:r>
            <w:r w:rsidR="00F71574" w:rsidRPr="00305085">
              <w:rPr>
                <w:sz w:val="22"/>
                <w:szCs w:val="22"/>
              </w:rPr>
              <w:t xml:space="preserve"> checklist and Cochrane advice for rapid reviews were used to inform the methods. A search strategy was developed for the Medline, Embase and CINAHL Complete databases. Eligible studies reported on vaping cessation interventions for e</w:t>
            </w:r>
            <w:r w:rsidR="00C52319">
              <w:rPr>
                <w:sz w:val="22"/>
                <w:szCs w:val="22"/>
              </w:rPr>
              <w:t>-</w:t>
            </w:r>
            <w:r w:rsidR="00F71574" w:rsidRPr="00305085">
              <w:rPr>
                <w:sz w:val="22"/>
                <w:szCs w:val="22"/>
              </w:rPr>
              <w:t xml:space="preserve">cigarette users of any age. The primary outcome was biochemically validated or self-reported vaping abstinence. Studies spanning levels 1-4 of the </w:t>
            </w:r>
            <w:r w:rsidR="002A7846" w:rsidRPr="00305085">
              <w:rPr>
                <w:sz w:val="22"/>
                <w:szCs w:val="22"/>
              </w:rPr>
              <w:t>National Health and Medical Research Council (</w:t>
            </w:r>
            <w:r w:rsidR="00F71574" w:rsidRPr="00305085">
              <w:rPr>
                <w:sz w:val="22"/>
                <w:szCs w:val="22"/>
              </w:rPr>
              <w:t>NHMRC</w:t>
            </w:r>
            <w:r w:rsidR="002A7846" w:rsidRPr="00305085">
              <w:rPr>
                <w:sz w:val="22"/>
                <w:szCs w:val="22"/>
              </w:rPr>
              <w:t>)</w:t>
            </w:r>
            <w:r w:rsidR="00F71574" w:rsidRPr="00305085">
              <w:rPr>
                <w:sz w:val="22"/>
                <w:szCs w:val="22"/>
              </w:rPr>
              <w:t xml:space="preserve"> Evidence Hierarchy were eligible for inclusion. </w:t>
            </w:r>
          </w:p>
          <w:p w14:paraId="7C76B250" w14:textId="361C6101" w:rsidR="001564A4" w:rsidRPr="00305085" w:rsidRDefault="001564A4" w:rsidP="000A28E2">
            <w:pPr>
              <w:pStyle w:val="Pa12"/>
              <w:rPr>
                <w:sz w:val="22"/>
                <w:szCs w:val="22"/>
              </w:rPr>
            </w:pPr>
          </w:p>
          <w:p w14:paraId="4229A35E" w14:textId="6B3C2292" w:rsidR="00F71574" w:rsidRPr="00305085" w:rsidRDefault="001564A4" w:rsidP="00305085">
            <w:pPr>
              <w:pStyle w:val="Pa12"/>
              <w:rPr>
                <w:b/>
                <w:bCs/>
                <w:color w:val="000000"/>
                <w:sz w:val="22"/>
                <w:szCs w:val="22"/>
              </w:rPr>
            </w:pPr>
            <w:r w:rsidRPr="005B73F9">
              <w:rPr>
                <w:rStyle w:val="A4"/>
                <w:b/>
                <w:bCs/>
              </w:rPr>
              <w:t xml:space="preserve">Results: </w:t>
            </w:r>
            <w:r w:rsidR="00EA543B" w:rsidRPr="005B73F9">
              <w:rPr>
                <w:rStyle w:val="A4"/>
              </w:rPr>
              <w:t xml:space="preserve">Of </w:t>
            </w:r>
            <w:r w:rsidR="00F71574" w:rsidRPr="005B73F9">
              <w:rPr>
                <w:sz w:val="22"/>
                <w:szCs w:val="22"/>
              </w:rPr>
              <w:t xml:space="preserve">29 </w:t>
            </w:r>
            <w:r w:rsidR="00EA543B" w:rsidRPr="005B73F9">
              <w:rPr>
                <w:sz w:val="22"/>
                <w:szCs w:val="22"/>
              </w:rPr>
              <w:t>eligible records</w:t>
            </w:r>
            <w:r w:rsidR="005B73F9" w:rsidRPr="005B73F9">
              <w:rPr>
                <w:sz w:val="22"/>
                <w:szCs w:val="22"/>
              </w:rPr>
              <w:t xml:space="preserve">, </w:t>
            </w:r>
            <w:r w:rsidR="00F71574" w:rsidRPr="005B73F9">
              <w:rPr>
                <w:sz w:val="22"/>
                <w:szCs w:val="22"/>
              </w:rPr>
              <w:t xml:space="preserve">8 </w:t>
            </w:r>
            <w:r w:rsidR="005B73F9" w:rsidRPr="005B73F9">
              <w:rPr>
                <w:sz w:val="22"/>
                <w:szCs w:val="22"/>
              </w:rPr>
              <w:t>were</w:t>
            </w:r>
            <w:r w:rsidR="005B73F9">
              <w:rPr>
                <w:sz w:val="22"/>
                <w:szCs w:val="22"/>
              </w:rPr>
              <w:t xml:space="preserve"> </w:t>
            </w:r>
            <w:r w:rsidR="00F71574" w:rsidRPr="00305085">
              <w:rPr>
                <w:sz w:val="22"/>
                <w:szCs w:val="22"/>
              </w:rPr>
              <w:t xml:space="preserve">feasibility studies, 4 systematic reviews, 2 </w:t>
            </w:r>
            <w:r w:rsidR="00F02AFD" w:rsidRPr="00305085">
              <w:rPr>
                <w:sz w:val="22"/>
                <w:szCs w:val="22"/>
              </w:rPr>
              <w:t>randomised controlled trial (</w:t>
            </w:r>
            <w:r w:rsidR="00F71574" w:rsidRPr="00305085">
              <w:rPr>
                <w:sz w:val="22"/>
                <w:szCs w:val="22"/>
              </w:rPr>
              <w:t>RCTs</w:t>
            </w:r>
            <w:r w:rsidR="00F02AFD" w:rsidRPr="00305085">
              <w:rPr>
                <w:sz w:val="22"/>
                <w:szCs w:val="22"/>
              </w:rPr>
              <w:t>)</w:t>
            </w:r>
            <w:r w:rsidR="005B73F9">
              <w:rPr>
                <w:sz w:val="22"/>
                <w:szCs w:val="22"/>
              </w:rPr>
              <w:t xml:space="preserve"> and 15 were of other design.</w:t>
            </w:r>
            <w:r w:rsidR="00F71574" w:rsidRPr="00305085">
              <w:rPr>
                <w:sz w:val="22"/>
                <w:szCs w:val="22"/>
              </w:rPr>
              <w:t xml:space="preserve"> Common interventions for individual users included nicotine replacement therapy, medication, text-based </w:t>
            </w:r>
            <w:proofErr w:type="gramStart"/>
            <w:r w:rsidR="00F71574" w:rsidRPr="00305085">
              <w:rPr>
                <w:sz w:val="22"/>
                <w:szCs w:val="22"/>
              </w:rPr>
              <w:t>programs</w:t>
            </w:r>
            <w:proofErr w:type="gramEnd"/>
            <w:r w:rsidR="00F71574" w:rsidRPr="00305085">
              <w:rPr>
                <w:sz w:val="22"/>
                <w:szCs w:val="22"/>
              </w:rPr>
              <w:t xml:space="preserve"> and smartphone applications. Both RCTs </w:t>
            </w:r>
            <w:r w:rsidR="00C52319" w:rsidRPr="00305085">
              <w:rPr>
                <w:sz w:val="22"/>
                <w:szCs w:val="22"/>
              </w:rPr>
              <w:t>(</w:t>
            </w:r>
            <w:r w:rsidR="00C52319">
              <w:rPr>
                <w:sz w:val="22"/>
                <w:szCs w:val="22"/>
              </w:rPr>
              <w:t xml:space="preserve">a </w:t>
            </w:r>
            <w:r w:rsidR="00C52319" w:rsidRPr="00305085">
              <w:rPr>
                <w:sz w:val="22"/>
                <w:szCs w:val="22"/>
              </w:rPr>
              <w:t>text-based program and varenicline)</w:t>
            </w:r>
            <w:r w:rsidR="00C52319">
              <w:rPr>
                <w:sz w:val="22"/>
                <w:szCs w:val="22"/>
              </w:rPr>
              <w:t xml:space="preserve"> </w:t>
            </w:r>
            <w:r w:rsidR="00F71574" w:rsidRPr="00305085">
              <w:rPr>
                <w:sz w:val="22"/>
                <w:szCs w:val="22"/>
              </w:rPr>
              <w:t>showed statistically significant abstinence rates in favour of the interventions</w:t>
            </w:r>
            <w:r w:rsidR="00C52319">
              <w:rPr>
                <w:sz w:val="22"/>
                <w:szCs w:val="22"/>
              </w:rPr>
              <w:t>.</w:t>
            </w:r>
            <w:r w:rsidR="00F71574" w:rsidRPr="00305085">
              <w:rPr>
                <w:sz w:val="22"/>
                <w:szCs w:val="22"/>
              </w:rPr>
              <w:t xml:space="preserve"> </w:t>
            </w:r>
            <w:r w:rsidR="00A816EA">
              <w:rPr>
                <w:sz w:val="22"/>
                <w:szCs w:val="22"/>
              </w:rPr>
              <w:t>Further</w:t>
            </w:r>
            <w:r w:rsidR="00F71574" w:rsidRPr="00305085">
              <w:rPr>
                <w:sz w:val="22"/>
                <w:szCs w:val="22"/>
              </w:rPr>
              <w:t xml:space="preserve"> interventions were favoured in </w:t>
            </w:r>
            <w:proofErr w:type="gramStart"/>
            <w:r w:rsidR="00F71574" w:rsidRPr="00305085">
              <w:rPr>
                <w:sz w:val="22"/>
                <w:szCs w:val="22"/>
              </w:rPr>
              <w:t>the majority of</w:t>
            </w:r>
            <w:proofErr w:type="gramEnd"/>
            <w:r w:rsidR="00F71574" w:rsidRPr="00305085">
              <w:rPr>
                <w:sz w:val="22"/>
                <w:szCs w:val="22"/>
              </w:rPr>
              <w:t xml:space="preserve"> feasibility studies. Community-level interventions focused on e-cigarette taxes and graphic health warnings on devices</w:t>
            </w:r>
            <w:r w:rsidR="00C52319">
              <w:rPr>
                <w:sz w:val="22"/>
                <w:szCs w:val="22"/>
              </w:rPr>
              <w:t>,</w:t>
            </w:r>
            <w:r w:rsidR="00F71574" w:rsidRPr="00305085">
              <w:rPr>
                <w:sz w:val="22"/>
                <w:szCs w:val="22"/>
              </w:rPr>
              <w:t xml:space="preserve"> but </w:t>
            </w:r>
            <w:r w:rsidR="00A816EA">
              <w:rPr>
                <w:sz w:val="22"/>
                <w:szCs w:val="22"/>
              </w:rPr>
              <w:t>none</w:t>
            </w:r>
            <w:r w:rsidR="00F71574" w:rsidRPr="00305085">
              <w:rPr>
                <w:sz w:val="22"/>
                <w:szCs w:val="22"/>
              </w:rPr>
              <w:t xml:space="preserve"> report on the primary outcome.</w:t>
            </w:r>
          </w:p>
          <w:p w14:paraId="300A8F01" w14:textId="1BC5AC67" w:rsidR="00F71574" w:rsidRPr="00305085" w:rsidRDefault="001564A4" w:rsidP="00305085">
            <w:pPr>
              <w:pStyle w:val="Pa12"/>
              <w:rPr>
                <w:sz w:val="22"/>
                <w:szCs w:val="22"/>
              </w:rPr>
            </w:pPr>
            <w:r w:rsidRPr="00305085">
              <w:rPr>
                <w:sz w:val="22"/>
                <w:szCs w:val="22"/>
              </w:rPr>
              <w:br/>
            </w:r>
            <w:r w:rsidRPr="00305085">
              <w:rPr>
                <w:rStyle w:val="A4"/>
                <w:b/>
                <w:bCs/>
              </w:rPr>
              <w:t xml:space="preserve">Conclusion: </w:t>
            </w:r>
            <w:r w:rsidR="00F71574" w:rsidRPr="00305085">
              <w:rPr>
                <w:sz w:val="22"/>
                <w:szCs w:val="22"/>
              </w:rPr>
              <w:t xml:space="preserve">The results warrant an increase in </w:t>
            </w:r>
            <w:r w:rsidR="00305085" w:rsidRPr="00305085">
              <w:rPr>
                <w:sz w:val="22"/>
                <w:szCs w:val="22"/>
              </w:rPr>
              <w:t>fully powered</w:t>
            </w:r>
            <w:r w:rsidR="00F71574" w:rsidRPr="00305085">
              <w:rPr>
                <w:sz w:val="22"/>
                <w:szCs w:val="22"/>
              </w:rPr>
              <w:t xml:space="preserve"> clinical trials, particularly into the efficacy of medication and smartphone-based interventions. Further, there is a paucity of evidence regarding cessation interventions for non-nicotine containing e-cigarettes. Future </w:t>
            </w:r>
            <w:r w:rsidR="00A36986">
              <w:rPr>
                <w:sz w:val="22"/>
                <w:szCs w:val="22"/>
              </w:rPr>
              <w:t>research</w:t>
            </w:r>
            <w:r w:rsidR="00F71574" w:rsidRPr="00305085">
              <w:rPr>
                <w:sz w:val="22"/>
                <w:szCs w:val="22"/>
              </w:rPr>
              <w:t xml:space="preserve"> should consider recent reductions and bans on nicotine in e-cigarettes. </w:t>
            </w:r>
          </w:p>
          <w:p w14:paraId="69B04572" w14:textId="201CF501" w:rsidR="001564A4" w:rsidRPr="00305085" w:rsidRDefault="001564A4" w:rsidP="000A28E2">
            <w:pPr>
              <w:pStyle w:val="Pa12"/>
              <w:rPr>
                <w:sz w:val="22"/>
                <w:szCs w:val="22"/>
              </w:rPr>
            </w:pPr>
          </w:p>
          <w:p w14:paraId="2A651708" w14:textId="77777777" w:rsidR="001564A4" w:rsidRPr="00305085" w:rsidRDefault="001564A4" w:rsidP="000A28E2">
            <w:pPr>
              <w:pStyle w:val="Pa12"/>
              <w:rPr>
                <w:sz w:val="22"/>
                <w:szCs w:val="22"/>
              </w:rPr>
            </w:pPr>
          </w:p>
          <w:p w14:paraId="3E8B4283" w14:textId="7D53E895" w:rsidR="001564A4" w:rsidRPr="00305085" w:rsidRDefault="001564A4" w:rsidP="000A28E2">
            <w:pPr>
              <w:pStyle w:val="Pa12"/>
              <w:rPr>
                <w:rStyle w:val="A4"/>
                <w:bCs/>
              </w:rPr>
            </w:pPr>
            <w:r w:rsidRPr="00305085">
              <w:rPr>
                <w:rStyle w:val="A4"/>
                <w:b/>
                <w:bCs/>
              </w:rPr>
              <w:t xml:space="preserve">Grant Support: </w:t>
            </w:r>
          </w:p>
          <w:p w14:paraId="1A27F6F9" w14:textId="611AC4ED" w:rsidR="007A11A4" w:rsidRPr="00305085" w:rsidRDefault="00305085" w:rsidP="007A11A4">
            <w:pPr>
              <w:jc w:val="both"/>
              <w:rPr>
                <w:rFonts w:ascii="Arial" w:hAnsi="Arial" w:cs="Arial"/>
                <w:sz w:val="22"/>
                <w:szCs w:val="22"/>
                <w:lang w:val="en-AU"/>
              </w:rPr>
            </w:pPr>
            <w:r w:rsidRPr="00305085">
              <w:rPr>
                <w:rFonts w:ascii="Arial" w:hAnsi="Arial" w:cs="Arial"/>
                <w:sz w:val="22"/>
                <w:szCs w:val="22"/>
              </w:rPr>
              <w:t xml:space="preserve">This work was supported by a scholarship from the University of Adelaide; </w:t>
            </w:r>
            <w:r w:rsidR="007A11A4" w:rsidRPr="00305085">
              <w:rPr>
                <w:rFonts w:ascii="Arial" w:hAnsi="Arial" w:cs="Arial"/>
                <w:b/>
                <w:sz w:val="22"/>
                <w:szCs w:val="22"/>
              </w:rPr>
              <w:t xml:space="preserve">Nomination: </w:t>
            </w:r>
            <w:r w:rsidR="007A11A4" w:rsidRPr="00305085">
              <w:rPr>
                <w:rFonts w:ascii="Arial" w:hAnsi="Arial" w:cs="Arial"/>
                <w:sz w:val="22"/>
                <w:szCs w:val="22"/>
              </w:rPr>
              <w:t xml:space="preserve">Nil; </w:t>
            </w:r>
            <w:r w:rsidR="007A11A4" w:rsidRPr="00305085">
              <w:rPr>
                <w:rFonts w:ascii="Arial" w:hAnsi="Arial" w:cs="Arial"/>
                <w:b/>
                <w:sz w:val="22"/>
                <w:szCs w:val="22"/>
              </w:rPr>
              <w:t>Conflict of Interest:</w:t>
            </w:r>
            <w:r w:rsidR="007A11A4" w:rsidRPr="00305085">
              <w:rPr>
                <w:rFonts w:ascii="Arial" w:hAnsi="Arial" w:cs="Arial"/>
                <w:sz w:val="22"/>
                <w:szCs w:val="22"/>
              </w:rPr>
              <w:t xml:space="preserve"> NO </w:t>
            </w:r>
          </w:p>
          <w:p w14:paraId="6B398678" w14:textId="77777777" w:rsidR="00305085" w:rsidRDefault="00305085" w:rsidP="000A28E2">
            <w:pPr>
              <w:pStyle w:val="Pa12"/>
              <w:rPr>
                <w:sz w:val="22"/>
                <w:szCs w:val="22"/>
              </w:rPr>
            </w:pPr>
          </w:p>
          <w:p w14:paraId="7F8381F0" w14:textId="44F458E7"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2540B8B7" w14:textId="3C880475" w:rsidR="00C6396E" w:rsidRDefault="00C6396E" w:rsidP="00C6396E">
      <w:pPr>
        <w:pStyle w:val="ListParagraph"/>
      </w:pPr>
    </w:p>
    <w:p w14:paraId="2A99F72C" w14:textId="170E8BED" w:rsidR="00434376" w:rsidRPr="00E06026" w:rsidRDefault="00434376" w:rsidP="00E06026">
      <w:pPr>
        <w:jc w:val="both"/>
        <w:rPr>
          <w:sz w:val="22"/>
          <w:szCs w:val="22"/>
          <w:lang w:val="en-AU"/>
        </w:rPr>
      </w:pPr>
      <w:r>
        <w:rPr>
          <w:sz w:val="22"/>
          <w:szCs w:val="22"/>
        </w:rPr>
        <w:lastRenderedPageBreak/>
        <w:t xml:space="preserve"> </w:t>
      </w:r>
    </w:p>
    <w:sectPr w:rsidR="00434376" w:rsidRPr="00E060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2476"/>
    <w:multiLevelType w:val="hybridMultilevel"/>
    <w:tmpl w:val="8266E4B4"/>
    <w:lvl w:ilvl="0" w:tplc="237EF674">
      <w:start w:val="2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7421EF"/>
    <w:multiLevelType w:val="hybridMultilevel"/>
    <w:tmpl w:val="10B08112"/>
    <w:lvl w:ilvl="0" w:tplc="8CF288CA">
      <w:start w:val="29"/>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3490173">
    <w:abstractNumId w:val="0"/>
  </w:num>
  <w:num w:numId="2" w16cid:durableId="1476096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95427"/>
    <w:rsid w:val="000C08ED"/>
    <w:rsid w:val="001564A4"/>
    <w:rsid w:val="00250602"/>
    <w:rsid w:val="00257E48"/>
    <w:rsid w:val="002A7846"/>
    <w:rsid w:val="00305085"/>
    <w:rsid w:val="003D2093"/>
    <w:rsid w:val="00434376"/>
    <w:rsid w:val="0051574E"/>
    <w:rsid w:val="005B73F9"/>
    <w:rsid w:val="006B65CB"/>
    <w:rsid w:val="007A11A4"/>
    <w:rsid w:val="008803FA"/>
    <w:rsid w:val="0089117C"/>
    <w:rsid w:val="00964975"/>
    <w:rsid w:val="00A36986"/>
    <w:rsid w:val="00A816EA"/>
    <w:rsid w:val="00AC1D88"/>
    <w:rsid w:val="00B12E32"/>
    <w:rsid w:val="00C5196E"/>
    <w:rsid w:val="00C52319"/>
    <w:rsid w:val="00C6396E"/>
    <w:rsid w:val="00CA6852"/>
    <w:rsid w:val="00CB0F6E"/>
    <w:rsid w:val="00D932D0"/>
    <w:rsid w:val="00E06026"/>
    <w:rsid w:val="00E0700F"/>
    <w:rsid w:val="00EA543B"/>
    <w:rsid w:val="00F02AFD"/>
    <w:rsid w:val="00F715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CommentReference">
    <w:name w:val="annotation reference"/>
    <w:basedOn w:val="DefaultParagraphFont"/>
    <w:uiPriority w:val="99"/>
    <w:semiHidden/>
    <w:unhideWhenUsed/>
    <w:rsid w:val="00964975"/>
    <w:rPr>
      <w:sz w:val="16"/>
      <w:szCs w:val="16"/>
    </w:rPr>
  </w:style>
  <w:style w:type="paragraph" w:styleId="CommentText">
    <w:name w:val="annotation text"/>
    <w:basedOn w:val="Normal"/>
    <w:link w:val="CommentTextChar"/>
    <w:uiPriority w:val="99"/>
    <w:unhideWhenUsed/>
    <w:rsid w:val="00964975"/>
    <w:pPr>
      <w:spacing w:after="160"/>
    </w:pPr>
    <w:rPr>
      <w:rFonts w:asciiTheme="minorHAnsi" w:eastAsiaTheme="minorHAnsi" w:hAnsiTheme="minorHAnsi" w:cstheme="minorBidi"/>
      <w:kern w:val="2"/>
      <w:sz w:val="20"/>
      <w:szCs w:val="20"/>
      <w:lang w:val="en-AU"/>
      <w14:ligatures w14:val="standardContextual"/>
    </w:rPr>
  </w:style>
  <w:style w:type="character" w:customStyle="1" w:styleId="CommentTextChar">
    <w:name w:val="Comment Text Char"/>
    <w:basedOn w:val="DefaultParagraphFont"/>
    <w:link w:val="CommentText"/>
    <w:uiPriority w:val="99"/>
    <w:rsid w:val="00964975"/>
    <w:rPr>
      <w:rFonts w:asciiTheme="minorHAnsi" w:hAnsiTheme="minorHAnsi"/>
      <w:kern w:val="2"/>
      <w:lang w:val="en-AU"/>
      <w14:ligatures w14:val="standardContextual"/>
    </w:rPr>
  </w:style>
  <w:style w:type="paragraph" w:styleId="ListParagraph">
    <w:name w:val="List Paragraph"/>
    <w:basedOn w:val="Normal"/>
    <w:uiPriority w:val="34"/>
    <w:qFormat/>
    <w:rsid w:val="00C63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cab52c9b-ab33-4221-8af9-54f8f2b86a80"/>
    <ds:schemaRef ds:uri="http://www.w3.org/XML/1998/namespace"/>
    <ds:schemaRef ds:uri="http://purl.org/dc/terms/"/>
    <ds:schemaRef ds:uri="http://schemas.openxmlformats.org/package/2006/metadata/core-properties"/>
    <ds:schemaRef ds:uri="9c8a2b7b-0bee-4c48-b0a6-23db8982d3bc"/>
    <ds:schemaRef ds:uri="6911e96c-4cc4-42d5-8e43-f93924cf6a05"/>
    <ds:schemaRef ds:uri="http://purl.org/dc/elements/1.1/"/>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157C0CC1-38BF-47CF-A711-DC2E2A75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2023-10-16T23:51:00Z</dcterms:created>
  <dcterms:modified xsi:type="dcterms:W3CDTF">2023-10-16T23:51:00Z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