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4203FC" w:rsidRPr="0050053A" w14:paraId="7AAD3610" w14:textId="77777777" w:rsidTr="00FC7A9E">
        <w:trPr>
          <w:jc w:val="center"/>
        </w:trPr>
        <w:tc>
          <w:tcPr>
            <w:tcW w:w="8640" w:type="dxa"/>
            <w:shd w:val="clear" w:color="auto" w:fill="auto"/>
          </w:tcPr>
          <w:p w14:paraId="4A31FC69" w14:textId="6ED47C5B" w:rsidR="004203FC" w:rsidRPr="0050053A" w:rsidRDefault="00C071FB" w:rsidP="00686F8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Late pregnancy </w:t>
            </w:r>
            <w:proofErr w:type="spellStart"/>
            <w:r w:rsidR="004203F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l</w:t>
            </w:r>
            <w:r w:rsidR="004203F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exacaftor</w:t>
            </w:r>
            <w:proofErr w:type="spellEnd"/>
            <w:r w:rsidR="004203F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/</w:t>
            </w:r>
            <w:proofErr w:type="spellStart"/>
            <w:r w:rsidR="009A2EF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Tezacaftor</w:t>
            </w:r>
            <w:proofErr w:type="spellEnd"/>
            <w:r w:rsidR="004203F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/Ivacaftor </w:t>
            </w:r>
            <w:r w:rsidR="00AA015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exposure </w:t>
            </w:r>
            <w:r w:rsidR="00686F85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may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harm</w:t>
            </w:r>
            <w:r w:rsidR="00686F85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AA015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developing thymus and cortex</w:t>
            </w:r>
          </w:p>
        </w:tc>
      </w:tr>
      <w:tr w:rsidR="004203FC" w:rsidRPr="00E40B09" w14:paraId="32962295" w14:textId="77777777" w:rsidTr="00FC7A9E">
        <w:trPr>
          <w:jc w:val="center"/>
        </w:trPr>
        <w:tc>
          <w:tcPr>
            <w:tcW w:w="8640" w:type="dxa"/>
            <w:shd w:val="clear" w:color="auto" w:fill="auto"/>
          </w:tcPr>
          <w:p w14:paraId="61FFEF8F" w14:textId="77777777" w:rsidR="004203FC" w:rsidRPr="00E32625" w:rsidRDefault="004203FC" w:rsidP="004203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E32625">
              <w:rPr>
                <w:rFonts w:ascii="Arial" w:eastAsia="MS Mincho" w:hAnsi="Arial" w:cs="Arial"/>
                <w:sz w:val="22"/>
                <w:szCs w:val="22"/>
              </w:rPr>
              <w:t>Danni Li</w:t>
            </w:r>
            <w:r w:rsidRPr="00E32625">
              <w:rPr>
                <w:rFonts w:ascii="Arial" w:eastAsia="MS Mincho" w:hAnsi="Arial" w:cs="Arial"/>
                <w:sz w:val="22"/>
                <w:szCs w:val="22"/>
                <w:vertAlign w:val="superscript"/>
              </w:rPr>
              <w:t>1</w:t>
            </w:r>
            <w:r w:rsidRPr="00E32625">
              <w:rPr>
                <w:rFonts w:ascii="Arial" w:eastAsia="MS Mincho" w:hAnsi="Arial" w:cs="Arial"/>
                <w:sz w:val="22"/>
                <w:szCs w:val="22"/>
              </w:rPr>
              <w:t>, Martin Donnelley</w:t>
            </w:r>
            <w:r w:rsidRPr="00E32625">
              <w:rPr>
                <w:rFonts w:ascii="Arial" w:eastAsia="MS Mincho" w:hAnsi="Arial" w:cs="Arial"/>
                <w:sz w:val="22"/>
                <w:szCs w:val="22"/>
                <w:vertAlign w:val="superscript"/>
              </w:rPr>
              <w:t>2,3,4</w:t>
            </w:r>
            <w:r w:rsidRPr="00E32625">
              <w:rPr>
                <w:rFonts w:ascii="Arial" w:eastAsia="MS Mincho" w:hAnsi="Arial" w:cs="Arial"/>
                <w:sz w:val="22"/>
                <w:szCs w:val="22"/>
              </w:rPr>
              <w:t>, David Parsons</w:t>
            </w:r>
            <w:r w:rsidRPr="00E32625">
              <w:rPr>
                <w:rFonts w:ascii="Arial" w:eastAsia="MS Mincho" w:hAnsi="Arial" w:cs="Arial"/>
                <w:sz w:val="22"/>
                <w:szCs w:val="22"/>
                <w:vertAlign w:val="superscript"/>
              </w:rPr>
              <w:t>2,3,4</w:t>
            </w:r>
            <w:r w:rsidRPr="00E32625">
              <w:rPr>
                <w:rFonts w:ascii="Arial" w:eastAsia="MS Mincho" w:hAnsi="Arial" w:cs="Arial"/>
                <w:sz w:val="22"/>
                <w:szCs w:val="22"/>
              </w:rPr>
              <w:t>, Mark D. Habgood</w:t>
            </w:r>
            <w:r w:rsidRPr="00E32625">
              <w:rPr>
                <w:rFonts w:ascii="Arial" w:eastAsia="MS Mincho" w:hAnsi="Arial" w:cs="Arial"/>
                <w:sz w:val="22"/>
                <w:szCs w:val="22"/>
                <w:vertAlign w:val="superscript"/>
              </w:rPr>
              <w:t>1</w:t>
            </w:r>
            <w:r w:rsidRPr="00E32625">
              <w:rPr>
                <w:rFonts w:ascii="Arial" w:eastAsia="MS Mincho" w:hAnsi="Arial" w:cs="Arial"/>
                <w:sz w:val="22"/>
                <w:szCs w:val="22"/>
              </w:rPr>
              <w:t>, Elena K. Schneider-Futschik</w:t>
            </w:r>
            <w:r w:rsidRPr="00E32625">
              <w:rPr>
                <w:rFonts w:ascii="Arial" w:eastAsia="MS Mincho" w:hAnsi="Arial" w:cs="Arial"/>
                <w:sz w:val="22"/>
                <w:szCs w:val="22"/>
                <w:vertAlign w:val="superscript"/>
              </w:rPr>
              <w:t>1*</w:t>
            </w:r>
          </w:p>
        </w:tc>
      </w:tr>
      <w:tr w:rsidR="004203FC" w:rsidRPr="0050053A" w14:paraId="313EF1FD" w14:textId="77777777" w:rsidTr="00FC7A9E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44B97B9B" w14:textId="77777777" w:rsidR="004203FC" w:rsidRPr="00E32625" w:rsidRDefault="004203FC" w:rsidP="004203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32625">
              <w:rPr>
                <w:rFonts w:ascii="Arial" w:eastAsia="MS Mincho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>1</w:t>
            </w:r>
            <w:r w:rsidRPr="00E32625">
              <w:rPr>
                <w:rFonts w:ascii="Arial" w:eastAsia="MS Mincho" w:hAnsi="Arial" w:cs="Arial"/>
                <w:i/>
                <w:iCs/>
                <w:kern w:val="32"/>
                <w:sz w:val="22"/>
                <w:szCs w:val="22"/>
              </w:rPr>
              <w:t xml:space="preserve">Department of Biochemistry &amp; Pharmacology, School of Biomedical Sciences, Faculty of Medicine, Dentistry and Health Sciences, The University of Melbourne, Parkville, VIC, 3010, </w:t>
            </w:r>
            <w:proofErr w:type="gramStart"/>
            <w:r w:rsidRPr="00E32625">
              <w:rPr>
                <w:rFonts w:ascii="Arial" w:eastAsia="MS Mincho" w:hAnsi="Arial" w:cs="Arial"/>
                <w:i/>
                <w:iCs/>
                <w:kern w:val="32"/>
                <w:sz w:val="22"/>
                <w:szCs w:val="22"/>
              </w:rPr>
              <w:t>Australia;</w:t>
            </w:r>
            <w:proofErr w:type="gramEnd"/>
            <w:r w:rsidRPr="00E3262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1AC7BC1B" w14:textId="77777777" w:rsidR="004203FC" w:rsidRPr="00E32625" w:rsidRDefault="004203FC" w:rsidP="004203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3262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>2</w:t>
            </w:r>
            <w:r w:rsidRPr="00E32625">
              <w:rPr>
                <w:rFonts w:ascii="Arial" w:hAnsi="Arial" w:cs="Arial"/>
                <w:i/>
                <w:iCs/>
                <w:sz w:val="22"/>
                <w:szCs w:val="22"/>
              </w:rPr>
              <w:t>Robinson Research Institute, University of Adelaide, Adelaide, South Australia, Australia.</w:t>
            </w:r>
          </w:p>
          <w:p w14:paraId="336922F9" w14:textId="08DE5DEC" w:rsidR="0077276E" w:rsidRPr="00E32625" w:rsidRDefault="004203FC" w:rsidP="004203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3262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>3</w:t>
            </w:r>
            <w:r w:rsidRPr="00E32625">
              <w:rPr>
                <w:rFonts w:ascii="Arial" w:hAnsi="Arial" w:cs="Arial"/>
                <w:i/>
                <w:iCs/>
                <w:sz w:val="22"/>
                <w:szCs w:val="22"/>
              </w:rPr>
              <w:t>Adelaide Medical School, University of Adelaide, Adelaide, South Australia, Australia</w:t>
            </w:r>
            <w:r w:rsidR="0077276E" w:rsidRPr="00E32625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7B8826A1" w14:textId="47447D9D" w:rsidR="004203FC" w:rsidRPr="00E32625" w:rsidRDefault="004203FC" w:rsidP="00E326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2625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4</w:t>
            </w:r>
            <w:r w:rsidRPr="00E3262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Department of Respiratory and Sleep Medicine, </w:t>
            </w:r>
            <w:proofErr w:type="gramStart"/>
            <w:r w:rsidRPr="00E32625">
              <w:rPr>
                <w:rFonts w:ascii="Arial" w:hAnsi="Arial" w:cs="Arial"/>
                <w:i/>
                <w:iCs/>
                <w:sz w:val="22"/>
                <w:szCs w:val="22"/>
              </w:rPr>
              <w:t>Women's</w:t>
            </w:r>
            <w:proofErr w:type="gramEnd"/>
            <w:r w:rsidRPr="00E3262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and Children's Hospital, 72 King William Rd, North Adelaide, South Australia, 5006, Australia.</w:t>
            </w:r>
          </w:p>
        </w:tc>
      </w:tr>
      <w:tr w:rsidR="004203FC" w:rsidRPr="0050053A" w14:paraId="206E60C0" w14:textId="77777777" w:rsidTr="004203FC">
        <w:trPr>
          <w:trHeight w:hRule="exact" w:val="10114"/>
          <w:jc w:val="center"/>
        </w:trPr>
        <w:tc>
          <w:tcPr>
            <w:tcW w:w="8640" w:type="dxa"/>
            <w:shd w:val="clear" w:color="auto" w:fill="auto"/>
          </w:tcPr>
          <w:p w14:paraId="56D6485B" w14:textId="77777777" w:rsidR="004203FC" w:rsidRPr="0050053A" w:rsidRDefault="004203FC" w:rsidP="00FC7A9E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75A2B5E7" w14:textId="0DA77597" w:rsidR="004203FC" w:rsidRPr="004203FC" w:rsidRDefault="004203FC" w:rsidP="00E32625">
            <w:pPr>
              <w:pStyle w:val="Pa12"/>
              <w:spacing w:line="240" w:lineRule="auto"/>
              <w:rPr>
                <w:sz w:val="22"/>
                <w:szCs w:val="22"/>
              </w:rPr>
            </w:pPr>
            <w:r w:rsidRPr="004203FC">
              <w:rPr>
                <w:color w:val="000000" w:themeColor="text1"/>
                <w:sz w:val="22"/>
                <w:szCs w:val="22"/>
                <w:lang w:val="en-US"/>
              </w:rPr>
              <w:t xml:space="preserve">The </w:t>
            </w:r>
            <w:r w:rsidR="00EB3426" w:rsidRPr="004203FC">
              <w:rPr>
                <w:color w:val="000000" w:themeColor="text1"/>
                <w:sz w:val="22"/>
                <w:szCs w:val="22"/>
                <w:lang w:val="en-US"/>
              </w:rPr>
              <w:t>highly</w:t>
            </w:r>
            <w:r w:rsidRPr="004203FC">
              <w:rPr>
                <w:color w:val="000000" w:themeColor="text1"/>
                <w:sz w:val="22"/>
                <w:szCs w:val="22"/>
                <w:lang w:val="en-US"/>
              </w:rPr>
              <w:t xml:space="preserve"> effective </w:t>
            </w:r>
            <w:r w:rsidR="00686F85">
              <w:rPr>
                <w:color w:val="000000" w:themeColor="text1"/>
                <w:sz w:val="22"/>
                <w:szCs w:val="22"/>
                <w:lang w:val="en-US"/>
              </w:rPr>
              <w:t>CFTR</w:t>
            </w:r>
            <w:r w:rsidRPr="004203FC">
              <w:rPr>
                <w:color w:val="000000" w:themeColor="text1"/>
                <w:sz w:val="22"/>
                <w:szCs w:val="22"/>
                <w:lang w:val="en-US"/>
              </w:rPr>
              <w:t xml:space="preserve"> modulator therapy </w:t>
            </w:r>
            <w:proofErr w:type="spellStart"/>
            <w:r w:rsidRPr="004203FC">
              <w:rPr>
                <w:color w:val="000000" w:themeColor="text1"/>
                <w:sz w:val="22"/>
                <w:szCs w:val="22"/>
                <w:lang w:val="en-US"/>
              </w:rPr>
              <w:t>Elexacaftor</w:t>
            </w:r>
            <w:proofErr w:type="spellEnd"/>
            <w:r w:rsidRPr="004203FC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proofErr w:type="spellStart"/>
            <w:r w:rsidRPr="004203FC">
              <w:rPr>
                <w:color w:val="000000" w:themeColor="text1"/>
                <w:sz w:val="22"/>
                <w:szCs w:val="22"/>
                <w:lang w:val="en-US"/>
              </w:rPr>
              <w:t>Tezacaftor</w:t>
            </w:r>
            <w:proofErr w:type="spellEnd"/>
            <w:r w:rsidRPr="004203FC">
              <w:rPr>
                <w:color w:val="000000" w:themeColor="text1"/>
                <w:sz w:val="22"/>
                <w:szCs w:val="22"/>
                <w:lang w:val="en-US"/>
              </w:rPr>
              <w:t>/Ivacaftor (ETI)</w:t>
            </w:r>
            <w:r w:rsidR="00686F85">
              <w:rPr>
                <w:color w:val="000000" w:themeColor="text1"/>
                <w:sz w:val="22"/>
                <w:szCs w:val="22"/>
                <w:lang w:val="en-US"/>
              </w:rPr>
              <w:t xml:space="preserve"> has</w:t>
            </w:r>
            <w:r w:rsidRPr="004203FC">
              <w:rPr>
                <w:color w:val="000000" w:themeColor="text1"/>
                <w:sz w:val="22"/>
                <w:szCs w:val="22"/>
                <w:lang w:val="en-US"/>
              </w:rPr>
              <w:t xml:space="preserve"> increased the </w:t>
            </w:r>
            <w:r w:rsidR="00686F85">
              <w:rPr>
                <w:color w:val="000000" w:themeColor="text1"/>
                <w:sz w:val="22"/>
                <w:szCs w:val="22"/>
                <w:lang w:val="en-US"/>
              </w:rPr>
              <w:t xml:space="preserve">quality of </w:t>
            </w:r>
            <w:r w:rsidRPr="004203FC">
              <w:rPr>
                <w:color w:val="000000" w:themeColor="text1"/>
                <w:sz w:val="22"/>
                <w:szCs w:val="22"/>
                <w:lang w:val="en-US"/>
              </w:rPr>
              <w:t xml:space="preserve">life and fertility of people with cystic fibrosis (CF). However, </w:t>
            </w:r>
            <w:r w:rsidR="0030616C">
              <w:rPr>
                <w:color w:val="000000" w:themeColor="text1"/>
                <w:sz w:val="22"/>
                <w:szCs w:val="22"/>
                <w:lang w:val="en-US"/>
              </w:rPr>
              <w:t>the risks it might pose if taken during pregnancy remain largely unknown.</w:t>
            </w:r>
            <w:r w:rsidR="006F02FB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4203FC">
              <w:rPr>
                <w:color w:val="000000" w:themeColor="text1"/>
                <w:sz w:val="22"/>
                <w:szCs w:val="22"/>
                <w:lang w:val="en-US"/>
              </w:rPr>
              <w:t>This study aim</w:t>
            </w:r>
            <w:r w:rsidR="00686F85">
              <w:rPr>
                <w:color w:val="000000" w:themeColor="text1"/>
                <w:sz w:val="22"/>
                <w:szCs w:val="22"/>
                <w:lang w:val="en-US"/>
              </w:rPr>
              <w:t>ed</w:t>
            </w:r>
            <w:r w:rsidRPr="004203FC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EB3426">
              <w:rPr>
                <w:color w:val="000000" w:themeColor="text1"/>
                <w:sz w:val="22"/>
                <w:szCs w:val="22"/>
                <w:lang w:val="en-US"/>
              </w:rPr>
              <w:t>to assess</w:t>
            </w:r>
            <w:r w:rsidRPr="004203FC">
              <w:rPr>
                <w:color w:val="000000" w:themeColor="text1"/>
                <w:sz w:val="22"/>
                <w:szCs w:val="22"/>
                <w:lang w:val="en-US"/>
              </w:rPr>
              <w:t xml:space="preserve"> the safety of ETI on fetal structural development and genetic changes.</w:t>
            </w:r>
          </w:p>
          <w:p w14:paraId="7E295FDE" w14:textId="77777777" w:rsidR="004203FC" w:rsidRPr="004203FC" w:rsidRDefault="004203FC" w:rsidP="00FC7A9E">
            <w:pPr>
              <w:pStyle w:val="Pa12"/>
              <w:rPr>
                <w:rStyle w:val="A4"/>
                <w:bCs/>
              </w:rPr>
            </w:pPr>
          </w:p>
          <w:p w14:paraId="144FB8B8" w14:textId="77777777" w:rsidR="004203FC" w:rsidRPr="004203FC" w:rsidRDefault="004203FC" w:rsidP="00FC7A9E">
            <w:pPr>
              <w:pStyle w:val="Pa12"/>
              <w:rPr>
                <w:rStyle w:val="A4"/>
                <w:b/>
                <w:bCs/>
              </w:rPr>
            </w:pPr>
            <w:r w:rsidRPr="004203FC">
              <w:rPr>
                <w:rStyle w:val="A4"/>
                <w:b/>
                <w:bCs/>
              </w:rPr>
              <w:t xml:space="preserve">Methods: </w:t>
            </w:r>
          </w:p>
          <w:p w14:paraId="516E2211" w14:textId="7BC271BE" w:rsidR="004203FC" w:rsidRPr="004203FC" w:rsidRDefault="00686F85" w:rsidP="00FC7A9E">
            <w:pPr>
              <w:pStyle w:val="Pa12"/>
              <w:rPr>
                <w:rStyle w:val="A4"/>
                <w:color w:val="auto"/>
              </w:rPr>
            </w:pPr>
            <w:r>
              <w:rPr>
                <w:sz w:val="22"/>
                <w:szCs w:val="22"/>
              </w:rPr>
              <w:t xml:space="preserve">Pregnant </w:t>
            </w:r>
            <w:r w:rsidR="004203FC" w:rsidRPr="004203FC">
              <w:rPr>
                <w:sz w:val="22"/>
                <w:szCs w:val="22"/>
                <w:lang w:val="en-US"/>
              </w:rPr>
              <w:t xml:space="preserve">Sprague Dawley rats </w:t>
            </w:r>
            <w:r>
              <w:rPr>
                <w:sz w:val="22"/>
                <w:szCs w:val="22"/>
                <w:lang w:val="en-US"/>
              </w:rPr>
              <w:t xml:space="preserve">were fed </w:t>
            </w:r>
            <w:r w:rsidR="004203FC" w:rsidRPr="004203FC">
              <w:rPr>
                <w:sz w:val="22"/>
                <w:szCs w:val="22"/>
                <w:lang w:val="en-US"/>
              </w:rPr>
              <w:t>orally with ETI (</w:t>
            </w:r>
            <w:r w:rsidR="004203FC" w:rsidRPr="004203FC">
              <w:rPr>
                <w:color w:val="000000" w:themeColor="text1"/>
                <w:sz w:val="22"/>
                <w:szCs w:val="22"/>
                <w:lang w:val="en-US"/>
              </w:rPr>
              <w:t xml:space="preserve">6.7 mg/kg/d </w:t>
            </w:r>
            <w:proofErr w:type="spellStart"/>
            <w:r w:rsidR="004203FC" w:rsidRPr="004203FC">
              <w:rPr>
                <w:color w:val="000000" w:themeColor="text1"/>
                <w:sz w:val="22"/>
                <w:szCs w:val="22"/>
                <w:lang w:val="en-US"/>
              </w:rPr>
              <w:t>Elexacaftor</w:t>
            </w:r>
            <w:proofErr w:type="spellEnd"/>
            <w:r w:rsidR="004203FC" w:rsidRPr="004203FC">
              <w:rPr>
                <w:color w:val="000000" w:themeColor="text1"/>
                <w:sz w:val="22"/>
                <w:szCs w:val="22"/>
                <w:lang w:val="en-US"/>
              </w:rPr>
              <w:t xml:space="preserve"> + 3.5 mg/kg/d </w:t>
            </w:r>
            <w:proofErr w:type="spellStart"/>
            <w:r w:rsidR="004203FC" w:rsidRPr="004203FC">
              <w:rPr>
                <w:color w:val="000000" w:themeColor="text1"/>
                <w:sz w:val="22"/>
                <w:szCs w:val="22"/>
                <w:lang w:val="en-US"/>
              </w:rPr>
              <w:t>Tezacaftor</w:t>
            </w:r>
            <w:proofErr w:type="spellEnd"/>
            <w:r w:rsidR="004203FC" w:rsidRPr="004203FC">
              <w:rPr>
                <w:color w:val="000000" w:themeColor="text1"/>
                <w:sz w:val="22"/>
                <w:szCs w:val="22"/>
                <w:lang w:val="en-US"/>
              </w:rPr>
              <w:t xml:space="preserve"> + 25 mg/kg/d Ivacaftor) </w:t>
            </w:r>
            <w:r w:rsidR="004203FC" w:rsidRPr="004203FC">
              <w:rPr>
                <w:sz w:val="22"/>
                <w:szCs w:val="22"/>
                <w:lang w:val="en-US"/>
              </w:rPr>
              <w:t xml:space="preserve">from embryonic day (E) 12 to E19 and </w:t>
            </w:r>
            <w:r w:rsidR="00EB3426" w:rsidRPr="004203FC">
              <w:rPr>
                <w:sz w:val="22"/>
                <w:szCs w:val="22"/>
                <w:lang w:val="en-US"/>
              </w:rPr>
              <w:t>multiple</w:t>
            </w:r>
            <w:r w:rsidR="004203FC" w:rsidRPr="004203FC">
              <w:rPr>
                <w:sz w:val="22"/>
                <w:szCs w:val="22"/>
                <w:lang w:val="en-US"/>
              </w:rPr>
              <w:t xml:space="preserve"> fetal tissues </w:t>
            </w:r>
            <w:r>
              <w:rPr>
                <w:sz w:val="22"/>
                <w:szCs w:val="22"/>
                <w:lang w:val="en-US"/>
              </w:rPr>
              <w:t xml:space="preserve">were collected </w:t>
            </w:r>
            <w:r w:rsidR="004203FC" w:rsidRPr="004203FC">
              <w:rPr>
                <w:sz w:val="22"/>
                <w:szCs w:val="22"/>
                <w:lang w:val="en-US"/>
              </w:rPr>
              <w:t>at E19. By comparing with control groups, tissues from ETI-treated groups were assessed for structural changes through histology</w:t>
            </w:r>
            <w:r w:rsidR="004203F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4203FC">
              <w:rPr>
                <w:sz w:val="22"/>
                <w:szCs w:val="22"/>
                <w:lang w:val="en-US"/>
              </w:rPr>
              <w:t>hematoxilin</w:t>
            </w:r>
            <w:proofErr w:type="spellEnd"/>
            <w:r w:rsidR="004203FC">
              <w:rPr>
                <w:sz w:val="22"/>
                <w:szCs w:val="22"/>
                <w:lang w:val="en-US"/>
              </w:rPr>
              <w:t xml:space="preserve"> &amp; eosin (H&amp;E) and </w:t>
            </w:r>
            <w:proofErr w:type="spellStart"/>
            <w:r w:rsidR="004203FC">
              <w:rPr>
                <w:sz w:val="22"/>
                <w:szCs w:val="22"/>
                <w:lang w:val="en-US"/>
              </w:rPr>
              <w:t>Alcian</w:t>
            </w:r>
            <w:proofErr w:type="spellEnd"/>
            <w:r w:rsidR="004203FC">
              <w:rPr>
                <w:sz w:val="22"/>
                <w:szCs w:val="22"/>
                <w:lang w:val="en-US"/>
              </w:rPr>
              <w:t xml:space="preserve"> blue periodic acid Schiff (AB/PAS) staining</w:t>
            </w:r>
            <w:r w:rsidR="004203FC" w:rsidRPr="004203FC">
              <w:rPr>
                <w:sz w:val="22"/>
                <w:szCs w:val="22"/>
                <w:lang w:val="en-US"/>
              </w:rPr>
              <w:t xml:space="preserve">, and for genetic changes </w:t>
            </w:r>
            <w:r w:rsidR="001C4EF0">
              <w:rPr>
                <w:sz w:val="22"/>
                <w:szCs w:val="22"/>
                <w:lang w:val="en-US"/>
              </w:rPr>
              <w:t>using</w:t>
            </w:r>
            <w:r w:rsidR="001C4EF0" w:rsidRPr="004203FC">
              <w:rPr>
                <w:sz w:val="22"/>
                <w:szCs w:val="22"/>
                <w:lang w:val="en-US"/>
              </w:rPr>
              <w:t xml:space="preserve"> </w:t>
            </w:r>
            <w:r w:rsidR="004203FC">
              <w:rPr>
                <w:sz w:val="22"/>
                <w:szCs w:val="22"/>
                <w:lang w:val="en-US"/>
              </w:rPr>
              <w:t xml:space="preserve">next generation </w:t>
            </w:r>
            <w:r w:rsidR="004203FC" w:rsidRPr="004203FC">
              <w:rPr>
                <w:sz w:val="22"/>
                <w:szCs w:val="22"/>
                <w:lang w:val="en-US"/>
              </w:rPr>
              <w:t>RNA</w:t>
            </w:r>
            <w:r w:rsidR="004203FC">
              <w:rPr>
                <w:sz w:val="22"/>
                <w:szCs w:val="22"/>
                <w:lang w:val="en-US"/>
              </w:rPr>
              <w:t xml:space="preserve"> </w:t>
            </w:r>
            <w:r w:rsidR="004203FC" w:rsidRPr="004203FC">
              <w:rPr>
                <w:sz w:val="22"/>
                <w:szCs w:val="22"/>
                <w:lang w:val="en-US"/>
              </w:rPr>
              <w:t>sequencing.</w:t>
            </w:r>
            <w:r w:rsidR="004203FC" w:rsidRPr="004203FC">
              <w:rPr>
                <w:sz w:val="22"/>
                <w:szCs w:val="22"/>
              </w:rPr>
              <w:br/>
            </w:r>
          </w:p>
          <w:p w14:paraId="091DBB00" w14:textId="77777777" w:rsidR="004203FC" w:rsidRPr="004203FC" w:rsidRDefault="004203FC" w:rsidP="00FC7A9E">
            <w:pPr>
              <w:pStyle w:val="Pa12"/>
              <w:rPr>
                <w:rStyle w:val="A4"/>
                <w:b/>
                <w:bCs/>
              </w:rPr>
            </w:pPr>
            <w:r w:rsidRPr="004203FC">
              <w:rPr>
                <w:rStyle w:val="A4"/>
                <w:b/>
                <w:bCs/>
              </w:rPr>
              <w:t xml:space="preserve">Results: </w:t>
            </w:r>
          </w:p>
          <w:p w14:paraId="549B93CA" w14:textId="04040C5C" w:rsidR="004203FC" w:rsidRPr="004203FC" w:rsidRDefault="00686F85" w:rsidP="00FC7A9E">
            <w:pPr>
              <w:pStyle w:val="Pa12"/>
              <w:rPr>
                <w:rStyle w:val="A4"/>
                <w:color w:val="auto"/>
              </w:rPr>
            </w:pPr>
            <w:r>
              <w:rPr>
                <w:sz w:val="22"/>
                <w:szCs w:val="22"/>
                <w:lang w:eastAsia="zh-CN"/>
              </w:rPr>
              <w:t>N</w:t>
            </w:r>
            <w:r w:rsidR="004203FC" w:rsidRPr="004203FC">
              <w:rPr>
                <w:sz w:val="22"/>
                <w:szCs w:val="22"/>
                <w:lang w:val="en-US" w:eastAsia="zh-CN"/>
              </w:rPr>
              <w:t>o overt structural abnormalities and very few differentially expressed genes (</w:t>
            </w:r>
            <w:r>
              <w:rPr>
                <w:sz w:val="22"/>
                <w:szCs w:val="22"/>
                <w:lang w:val="en-US" w:eastAsia="zh-CN"/>
              </w:rPr>
              <w:t>DEG</w:t>
            </w:r>
            <w:r w:rsidR="004203FC" w:rsidRPr="004203FC">
              <w:rPr>
                <w:sz w:val="22"/>
                <w:szCs w:val="22"/>
                <w:lang w:val="en-US" w:eastAsia="zh-CN"/>
              </w:rPr>
              <w:t xml:space="preserve">) </w:t>
            </w:r>
            <w:r>
              <w:rPr>
                <w:sz w:val="22"/>
                <w:szCs w:val="22"/>
                <w:lang w:val="en-US" w:eastAsia="zh-CN"/>
              </w:rPr>
              <w:t xml:space="preserve">were detected </w:t>
            </w:r>
            <w:r w:rsidR="004203FC" w:rsidRPr="004203FC">
              <w:rPr>
                <w:sz w:val="22"/>
                <w:szCs w:val="22"/>
                <w:lang w:val="en-US" w:eastAsia="zh-CN"/>
              </w:rPr>
              <w:t>in fetal liver</w:t>
            </w:r>
            <w:r w:rsidR="004203FC">
              <w:rPr>
                <w:sz w:val="22"/>
                <w:szCs w:val="22"/>
                <w:lang w:val="en-US" w:eastAsia="zh-CN"/>
              </w:rPr>
              <w:t xml:space="preserve"> (2 </w:t>
            </w:r>
            <w:r>
              <w:rPr>
                <w:sz w:val="22"/>
                <w:szCs w:val="22"/>
                <w:lang w:val="en-US" w:eastAsia="zh-CN"/>
              </w:rPr>
              <w:t>DEG</w:t>
            </w:r>
            <w:r w:rsidR="004203FC">
              <w:rPr>
                <w:sz w:val="22"/>
                <w:szCs w:val="22"/>
                <w:lang w:val="en-US" w:eastAsia="zh-CN"/>
              </w:rPr>
              <w:t>)</w:t>
            </w:r>
            <w:r w:rsidR="004203FC" w:rsidRPr="004203FC">
              <w:rPr>
                <w:sz w:val="22"/>
                <w:szCs w:val="22"/>
                <w:lang w:val="en-US" w:eastAsia="zh-CN"/>
              </w:rPr>
              <w:t xml:space="preserve">, lung </w:t>
            </w:r>
            <w:r w:rsidR="004203FC">
              <w:rPr>
                <w:sz w:val="22"/>
                <w:szCs w:val="22"/>
                <w:lang w:val="en-US" w:eastAsia="zh-CN"/>
              </w:rPr>
              <w:t xml:space="preserve">(4 </w:t>
            </w:r>
            <w:r>
              <w:rPr>
                <w:sz w:val="22"/>
                <w:szCs w:val="22"/>
                <w:lang w:val="en-US" w:eastAsia="zh-CN"/>
              </w:rPr>
              <w:t>DEG</w:t>
            </w:r>
            <w:r w:rsidR="004203FC">
              <w:rPr>
                <w:sz w:val="22"/>
                <w:szCs w:val="22"/>
                <w:lang w:val="en-US" w:eastAsia="zh-CN"/>
              </w:rPr>
              <w:t xml:space="preserve">) </w:t>
            </w:r>
            <w:r w:rsidR="004203FC" w:rsidRPr="004203FC">
              <w:rPr>
                <w:sz w:val="22"/>
                <w:szCs w:val="22"/>
                <w:lang w:val="en-US" w:eastAsia="zh-CN"/>
              </w:rPr>
              <w:t>and small intestine</w:t>
            </w:r>
            <w:r w:rsidR="004203FC">
              <w:rPr>
                <w:sz w:val="22"/>
                <w:szCs w:val="22"/>
                <w:lang w:val="en-US" w:eastAsia="zh-CN"/>
              </w:rPr>
              <w:t xml:space="preserve"> (5 </w:t>
            </w:r>
            <w:r>
              <w:rPr>
                <w:sz w:val="22"/>
                <w:szCs w:val="22"/>
                <w:lang w:val="en-US" w:eastAsia="zh-CN"/>
              </w:rPr>
              <w:t>DEG</w:t>
            </w:r>
            <w:r w:rsidR="004203FC">
              <w:rPr>
                <w:sz w:val="22"/>
                <w:szCs w:val="22"/>
                <w:lang w:val="en-US" w:eastAsia="zh-CN"/>
              </w:rPr>
              <w:t xml:space="preserve">) </w:t>
            </w:r>
            <w:r w:rsidR="004203FC" w:rsidRPr="004203FC">
              <w:rPr>
                <w:sz w:val="22"/>
                <w:szCs w:val="22"/>
                <w:lang w:val="en-US" w:eastAsia="zh-CN"/>
              </w:rPr>
              <w:t xml:space="preserve">after 7-day ETI exposure. A total of 29 </w:t>
            </w:r>
            <w:r>
              <w:rPr>
                <w:sz w:val="22"/>
                <w:szCs w:val="22"/>
                <w:lang w:val="en-US" w:eastAsia="zh-CN"/>
              </w:rPr>
              <w:t>DEG</w:t>
            </w:r>
            <w:r w:rsidR="004203FC" w:rsidRPr="004203FC">
              <w:rPr>
                <w:sz w:val="22"/>
                <w:szCs w:val="22"/>
                <w:lang w:val="en-US" w:eastAsia="zh-CN"/>
              </w:rPr>
              <w:t xml:space="preserve"> (27 upregulated and 2 downregulated) were identified in </w:t>
            </w:r>
            <w:r w:rsidR="004203FC">
              <w:rPr>
                <w:sz w:val="22"/>
                <w:szCs w:val="22"/>
                <w:lang w:val="en-US" w:eastAsia="zh-CN"/>
              </w:rPr>
              <w:t xml:space="preserve">fetal </w:t>
            </w:r>
            <w:r w:rsidR="004203FC" w:rsidRPr="004203FC">
              <w:rPr>
                <w:sz w:val="22"/>
                <w:szCs w:val="22"/>
                <w:lang w:val="en-US" w:eastAsia="zh-CN"/>
              </w:rPr>
              <w:t>thymus, most of which were functionally linked and related to striated muscle</w:t>
            </w:r>
            <w:r w:rsidR="0030616C">
              <w:rPr>
                <w:sz w:val="22"/>
                <w:szCs w:val="22"/>
                <w:lang w:val="en-US" w:eastAsia="zh-CN"/>
              </w:rPr>
              <w:t xml:space="preserve"> (myosin)</w:t>
            </w:r>
            <w:r w:rsidR="004203FC" w:rsidRPr="004203FC">
              <w:rPr>
                <w:sz w:val="22"/>
                <w:szCs w:val="22"/>
                <w:lang w:val="en-US" w:eastAsia="zh-CN"/>
              </w:rPr>
              <w:t xml:space="preserve"> development. </w:t>
            </w:r>
            <w:r w:rsidR="001C4EF0">
              <w:rPr>
                <w:sz w:val="22"/>
                <w:szCs w:val="22"/>
                <w:lang w:val="en-US" w:eastAsia="zh-CN"/>
              </w:rPr>
              <w:t>In fetal cortex, a</w:t>
            </w:r>
            <w:r>
              <w:rPr>
                <w:sz w:val="22"/>
                <w:szCs w:val="22"/>
                <w:lang w:val="en-US" w:eastAsia="zh-CN"/>
              </w:rPr>
              <w:t xml:space="preserve"> total of</w:t>
            </w:r>
            <w:r w:rsidR="004203FC" w:rsidRPr="004203FC">
              <w:rPr>
                <w:sz w:val="22"/>
                <w:szCs w:val="22"/>
                <w:lang w:val="en-US" w:eastAsia="zh-CN"/>
              </w:rPr>
              <w:t xml:space="preserve"> 44 downregulated and 4 upregulated genes were identified and a group of the</w:t>
            </w:r>
            <w:r>
              <w:rPr>
                <w:sz w:val="22"/>
                <w:szCs w:val="22"/>
                <w:lang w:val="en-US" w:eastAsia="zh-CN"/>
              </w:rPr>
              <w:t>se</w:t>
            </w:r>
            <w:r w:rsidR="004203FC" w:rsidRPr="004203FC">
              <w:rPr>
                <w:sz w:val="22"/>
                <w:szCs w:val="22"/>
                <w:lang w:val="en-US" w:eastAsia="zh-CN"/>
              </w:rPr>
              <w:t xml:space="preserve"> were involved in neurogenesis, neuronal </w:t>
            </w:r>
            <w:proofErr w:type="gramStart"/>
            <w:r w:rsidR="00EB3426" w:rsidRPr="004203FC">
              <w:rPr>
                <w:sz w:val="22"/>
                <w:szCs w:val="22"/>
                <w:lang w:val="en-US" w:eastAsia="zh-CN"/>
              </w:rPr>
              <w:t>differentiation</w:t>
            </w:r>
            <w:proofErr w:type="gramEnd"/>
            <w:r w:rsidR="00EB3426">
              <w:rPr>
                <w:sz w:val="22"/>
                <w:szCs w:val="22"/>
                <w:lang w:val="en-US" w:eastAsia="zh-CN"/>
              </w:rPr>
              <w:t xml:space="preserve"> </w:t>
            </w:r>
            <w:r w:rsidR="004203FC" w:rsidRPr="004203FC">
              <w:rPr>
                <w:sz w:val="22"/>
                <w:szCs w:val="22"/>
                <w:lang w:val="en-US" w:eastAsia="zh-CN"/>
              </w:rPr>
              <w:t>and central nervous system development.</w:t>
            </w:r>
            <w:r w:rsidR="004203FC" w:rsidRPr="004203FC">
              <w:rPr>
                <w:sz w:val="22"/>
                <w:szCs w:val="22"/>
              </w:rPr>
              <w:br/>
            </w:r>
          </w:p>
          <w:p w14:paraId="6F818D56" w14:textId="77777777" w:rsidR="004203FC" w:rsidRPr="004203FC" w:rsidRDefault="004203FC" w:rsidP="00FC7A9E">
            <w:pPr>
              <w:pStyle w:val="Pa12"/>
              <w:rPr>
                <w:rStyle w:val="A4"/>
                <w:b/>
                <w:bCs/>
              </w:rPr>
            </w:pPr>
            <w:r w:rsidRPr="004203FC">
              <w:rPr>
                <w:rStyle w:val="A4"/>
                <w:b/>
                <w:bCs/>
              </w:rPr>
              <w:t xml:space="preserve">Conclusion: </w:t>
            </w:r>
          </w:p>
          <w:p w14:paraId="58181E17" w14:textId="4A4900D5" w:rsidR="004203FC" w:rsidRPr="004203FC" w:rsidRDefault="0030616C" w:rsidP="00FC7A9E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Sub-chronic exposure to ETI during late pregnancy does not appear to pose a significant risk to structural and genetic development of </w:t>
            </w:r>
            <w:proofErr w:type="spellStart"/>
            <w:r>
              <w:rPr>
                <w:sz w:val="22"/>
                <w:szCs w:val="22"/>
              </w:rPr>
              <w:t>fetal</w:t>
            </w:r>
            <w:proofErr w:type="spellEnd"/>
            <w:r>
              <w:rPr>
                <w:sz w:val="22"/>
                <w:szCs w:val="22"/>
              </w:rPr>
              <w:t xml:space="preserve"> liver, </w:t>
            </w:r>
            <w:proofErr w:type="gramStart"/>
            <w:r>
              <w:rPr>
                <w:sz w:val="22"/>
                <w:szCs w:val="22"/>
              </w:rPr>
              <w:t>lung</w:t>
            </w:r>
            <w:proofErr w:type="gramEnd"/>
            <w:r>
              <w:rPr>
                <w:sz w:val="22"/>
                <w:szCs w:val="22"/>
              </w:rPr>
              <w:t xml:space="preserve"> and small intestine.</w:t>
            </w:r>
            <w:r w:rsidR="00DF107E">
              <w:rPr>
                <w:sz w:val="22"/>
                <w:szCs w:val="22"/>
              </w:rPr>
              <w:t xml:space="preserve"> In contrast, ETI exposure may indue </w:t>
            </w:r>
            <w:proofErr w:type="spellStart"/>
            <w:r w:rsidR="00DF107E">
              <w:rPr>
                <w:sz w:val="22"/>
                <w:szCs w:val="22"/>
              </w:rPr>
              <w:t>fetal</w:t>
            </w:r>
            <w:proofErr w:type="spellEnd"/>
            <w:r w:rsidR="00DF107E">
              <w:rPr>
                <w:sz w:val="22"/>
                <w:szCs w:val="22"/>
              </w:rPr>
              <w:t xml:space="preserve"> thymic myoid cell expansion and have effects on cortical development, which needs to be investigated further in follow-up studies. </w:t>
            </w:r>
            <w:r>
              <w:rPr>
                <w:sz w:val="22"/>
                <w:szCs w:val="22"/>
              </w:rPr>
              <w:t xml:space="preserve"> </w:t>
            </w:r>
            <w:r w:rsidR="004203FC" w:rsidRPr="004203FC">
              <w:rPr>
                <w:sz w:val="22"/>
                <w:szCs w:val="22"/>
              </w:rPr>
              <w:t xml:space="preserve"> </w:t>
            </w:r>
          </w:p>
          <w:p w14:paraId="30475051" w14:textId="77777777" w:rsidR="004203FC" w:rsidRPr="004203FC" w:rsidRDefault="004203FC" w:rsidP="00FC7A9E">
            <w:pPr>
              <w:pStyle w:val="Pa12"/>
              <w:rPr>
                <w:rStyle w:val="A4"/>
                <w:bCs/>
              </w:rPr>
            </w:pPr>
          </w:p>
          <w:p w14:paraId="3AE105D9" w14:textId="77777777" w:rsidR="004203FC" w:rsidRPr="004203FC" w:rsidRDefault="004203FC" w:rsidP="00FC7A9E">
            <w:pPr>
              <w:pStyle w:val="Pa12"/>
              <w:rPr>
                <w:rStyle w:val="A4"/>
                <w:b/>
                <w:bCs/>
              </w:rPr>
            </w:pPr>
            <w:r w:rsidRPr="004203FC">
              <w:rPr>
                <w:rStyle w:val="A4"/>
                <w:b/>
                <w:bCs/>
              </w:rPr>
              <w:t xml:space="preserve">Grant Support: </w:t>
            </w:r>
          </w:p>
          <w:p w14:paraId="65AA282D" w14:textId="149C39E6" w:rsidR="004203FC" w:rsidRDefault="00970C92" w:rsidP="00FC7A9E">
            <w:pPr>
              <w:pStyle w:val="Pa12"/>
              <w:rPr>
                <w:sz w:val="22"/>
                <w:szCs w:val="22"/>
              </w:rPr>
            </w:pPr>
            <w:r w:rsidRPr="00970C92">
              <w:rPr>
                <w:sz w:val="22"/>
                <w:szCs w:val="22"/>
              </w:rPr>
              <w:t>EKS-F is supported by the National Health and Medical Research Council (Grant ID: APP1157287) Cystic Fibrosis Australia (Innovation Award 2021)</w:t>
            </w:r>
            <w:r>
              <w:rPr>
                <w:sz w:val="22"/>
                <w:szCs w:val="22"/>
              </w:rPr>
              <w:t xml:space="preserve"> and the University of Melbourne.</w:t>
            </w:r>
            <w:r w:rsidR="004203FC" w:rsidRPr="004203FC">
              <w:rPr>
                <w:sz w:val="22"/>
                <w:szCs w:val="22"/>
              </w:rPr>
              <w:br/>
            </w:r>
            <w:r w:rsidR="004203FC" w:rsidRPr="004203FC">
              <w:rPr>
                <w:sz w:val="22"/>
                <w:szCs w:val="22"/>
              </w:rPr>
              <w:br/>
            </w:r>
            <w:r w:rsidR="004203FC" w:rsidRPr="004203FC">
              <w:rPr>
                <w:sz w:val="22"/>
                <w:szCs w:val="22"/>
              </w:rPr>
              <w:br/>
            </w:r>
            <w:r w:rsidR="004203FC">
              <w:rPr>
                <w:sz w:val="22"/>
                <w:szCs w:val="22"/>
              </w:rPr>
              <w:br/>
            </w:r>
            <w:r w:rsidR="004203FC">
              <w:rPr>
                <w:sz w:val="22"/>
                <w:szCs w:val="22"/>
              </w:rPr>
              <w:br/>
            </w:r>
            <w:r w:rsidR="004203FC">
              <w:rPr>
                <w:sz w:val="22"/>
                <w:szCs w:val="22"/>
              </w:rPr>
              <w:br/>
            </w:r>
            <w:r w:rsidR="004203FC">
              <w:rPr>
                <w:sz w:val="22"/>
                <w:szCs w:val="22"/>
              </w:rPr>
              <w:br/>
            </w:r>
            <w:r w:rsidR="004203FC">
              <w:rPr>
                <w:sz w:val="22"/>
                <w:szCs w:val="22"/>
              </w:rPr>
              <w:br/>
            </w:r>
            <w:r w:rsidR="004203FC">
              <w:rPr>
                <w:sz w:val="22"/>
                <w:szCs w:val="22"/>
              </w:rPr>
              <w:br/>
            </w:r>
          </w:p>
          <w:p w14:paraId="4BD43817" w14:textId="77777777" w:rsidR="004203FC" w:rsidRDefault="004203FC" w:rsidP="00FC7A9E">
            <w:pPr>
              <w:pStyle w:val="Default"/>
            </w:pPr>
          </w:p>
          <w:p w14:paraId="277899DB" w14:textId="77777777" w:rsidR="004203FC" w:rsidRPr="003E35F0" w:rsidRDefault="004203FC" w:rsidP="00FC7A9E">
            <w:pPr>
              <w:pStyle w:val="Default"/>
            </w:pPr>
          </w:p>
          <w:p w14:paraId="58B335AF" w14:textId="77777777" w:rsidR="004203FC" w:rsidRPr="0050053A" w:rsidRDefault="004203FC" w:rsidP="00FC7A9E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6E1F4D38" w14:textId="77777777" w:rsidR="004203FC" w:rsidRPr="0050053A" w:rsidRDefault="004203FC" w:rsidP="00FC7A9E">
            <w:pPr>
              <w:pStyle w:val="Default"/>
              <w:rPr>
                <w:rStyle w:val="A4"/>
                <w:bCs/>
              </w:rPr>
            </w:pPr>
          </w:p>
          <w:p w14:paraId="41E24498" w14:textId="77777777" w:rsidR="004203FC" w:rsidRPr="0050053A" w:rsidRDefault="004203FC" w:rsidP="00FC7A9E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45825DF2" w14:textId="77777777" w:rsidR="004203FC" w:rsidRDefault="004203FC"/>
    <w:p w14:paraId="355AEF98" w14:textId="77777777" w:rsidR="004203FC" w:rsidRDefault="004203FC"/>
    <w:sectPr w:rsidR="00420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3FC"/>
    <w:rsid w:val="00042B91"/>
    <w:rsid w:val="00072CA4"/>
    <w:rsid w:val="000C1B3D"/>
    <w:rsid w:val="000E72CA"/>
    <w:rsid w:val="000F4A21"/>
    <w:rsid w:val="0014497F"/>
    <w:rsid w:val="00161DCD"/>
    <w:rsid w:val="0018742A"/>
    <w:rsid w:val="001A008C"/>
    <w:rsid w:val="001C4EF0"/>
    <w:rsid w:val="001C66B5"/>
    <w:rsid w:val="002D69D5"/>
    <w:rsid w:val="0030616C"/>
    <w:rsid w:val="00310EEE"/>
    <w:rsid w:val="003162EA"/>
    <w:rsid w:val="004203FC"/>
    <w:rsid w:val="00460B67"/>
    <w:rsid w:val="00490FA9"/>
    <w:rsid w:val="004C07A7"/>
    <w:rsid w:val="004C7D8E"/>
    <w:rsid w:val="00597E39"/>
    <w:rsid w:val="005A18C4"/>
    <w:rsid w:val="005B4B5A"/>
    <w:rsid w:val="00643D29"/>
    <w:rsid w:val="00686F85"/>
    <w:rsid w:val="006D7477"/>
    <w:rsid w:val="006F02FB"/>
    <w:rsid w:val="007203CF"/>
    <w:rsid w:val="007362BB"/>
    <w:rsid w:val="007468C3"/>
    <w:rsid w:val="0077276E"/>
    <w:rsid w:val="007C1418"/>
    <w:rsid w:val="007C2A52"/>
    <w:rsid w:val="007D0E89"/>
    <w:rsid w:val="00805FFF"/>
    <w:rsid w:val="00822C8E"/>
    <w:rsid w:val="008625E6"/>
    <w:rsid w:val="00880640"/>
    <w:rsid w:val="00907BFF"/>
    <w:rsid w:val="00941190"/>
    <w:rsid w:val="00952130"/>
    <w:rsid w:val="00970C92"/>
    <w:rsid w:val="0097621C"/>
    <w:rsid w:val="00980C7E"/>
    <w:rsid w:val="009A2EFB"/>
    <w:rsid w:val="009F4BE8"/>
    <w:rsid w:val="00AA0150"/>
    <w:rsid w:val="00AC722A"/>
    <w:rsid w:val="00B424CF"/>
    <w:rsid w:val="00BB25A1"/>
    <w:rsid w:val="00BC639D"/>
    <w:rsid w:val="00BF0DE4"/>
    <w:rsid w:val="00C04CB1"/>
    <w:rsid w:val="00C071FB"/>
    <w:rsid w:val="00C15F60"/>
    <w:rsid w:val="00C66D49"/>
    <w:rsid w:val="00C67FF0"/>
    <w:rsid w:val="00C753A6"/>
    <w:rsid w:val="00CE4924"/>
    <w:rsid w:val="00D422E8"/>
    <w:rsid w:val="00D91101"/>
    <w:rsid w:val="00DF107E"/>
    <w:rsid w:val="00E32625"/>
    <w:rsid w:val="00E57FAA"/>
    <w:rsid w:val="00E73237"/>
    <w:rsid w:val="00EB3426"/>
    <w:rsid w:val="00EC3654"/>
    <w:rsid w:val="00F36B34"/>
    <w:rsid w:val="00FC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40683"/>
  <w15:chartTrackingRefBased/>
  <w15:docId w15:val="{4C52B335-D8C7-D248-A94A-17E4B2A9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3FC"/>
    <w:rPr>
      <w:rFonts w:ascii="Times New Roman" w:eastAsia="Times New Roman" w:hAnsi="Times New Roman" w:cs="Times New Roman"/>
      <w:kern w:val="0"/>
      <w:lang w:val="en-GB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03FC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val="en-NZ" w:eastAsia="en-NZ"/>
      <w14:ligatures w14:val="none"/>
    </w:rPr>
  </w:style>
  <w:style w:type="character" w:customStyle="1" w:styleId="A4">
    <w:name w:val="A4"/>
    <w:uiPriority w:val="99"/>
    <w:rsid w:val="004203FC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4203FC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B3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426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426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/>
      <w14:ligatures w14:val="none"/>
    </w:rPr>
  </w:style>
  <w:style w:type="paragraph" w:styleId="Revision">
    <w:name w:val="Revision"/>
    <w:hidden/>
    <w:uiPriority w:val="99"/>
    <w:semiHidden/>
    <w:rsid w:val="006D7477"/>
    <w:rPr>
      <w:rFonts w:ascii="Times New Roman" w:eastAsia="Times New Roman" w:hAnsi="Times New Roman" w:cs="Times New Roman"/>
      <w:kern w:val="0"/>
      <w:lang w:val="en-GB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037118-38B1-4FE4-B17F-5D9FB82AA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62181C-96F6-4FA5-AE43-0C1EE64C8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C2D28-F726-46F1-A0A6-43E40C15D551}">
  <ds:schemaRefs>
    <ds:schemaRef ds:uri="http://purl.org/dc/elements/1.1/"/>
    <ds:schemaRef ds:uri="cab52c9b-ab33-4221-8af9-54f8f2b86a80"/>
    <ds:schemaRef ds:uri="6911e96c-4cc4-42d5-8e43-f93924cf6a05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9c8a2b7b-0bee-4c48-b0a6-23db8982d3bc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 Li</dc:creator>
  <cp:keywords/>
  <dc:description/>
  <cp:lastModifiedBy>Leah McLeod</cp:lastModifiedBy>
  <cp:revision>2</cp:revision>
  <dcterms:created xsi:type="dcterms:W3CDTF">2023-10-11T02:54:00Z</dcterms:created>
  <dcterms:modified xsi:type="dcterms:W3CDTF">2023-10-11T02:54:00Z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