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BEFB" w14:textId="75B305A2" w:rsidR="00BF2A3A" w:rsidRPr="00BF2A3A" w:rsidRDefault="00BF2A3A" w:rsidP="00BF2A3A">
      <w:pPr>
        <w:pStyle w:val="CommentText"/>
        <w:rPr>
          <w:rFonts w:ascii="Arial" w:hAnsi="Arial" w:cs="Arial"/>
          <w:b/>
          <w:bCs/>
          <w:sz w:val="22"/>
          <w:szCs w:val="22"/>
          <w:u w:val="single"/>
        </w:rPr>
      </w:pPr>
      <w:r w:rsidRPr="00BF2A3A">
        <w:rPr>
          <w:rFonts w:ascii="Arial" w:hAnsi="Arial" w:cs="Arial"/>
          <w:b/>
          <w:bCs/>
          <w:sz w:val="22"/>
          <w:szCs w:val="22"/>
          <w:u w:val="single"/>
        </w:rPr>
        <w:t xml:space="preserve">Does treatment of GDM modify the effect of maternal pre-pregnancy BMI on perinatal outcomes? </w:t>
      </w:r>
    </w:p>
    <w:p w14:paraId="6D62BC7E" w14:textId="77777777" w:rsidR="00BF2A3A" w:rsidRPr="00BF2A3A" w:rsidRDefault="00BF2A3A" w:rsidP="00BF2A3A">
      <w:pPr>
        <w:pStyle w:val="CommentText"/>
        <w:rPr>
          <w:rFonts w:ascii="Arial" w:hAnsi="Arial" w:cs="Arial"/>
          <w:sz w:val="22"/>
          <w:szCs w:val="22"/>
        </w:rPr>
      </w:pPr>
    </w:p>
    <w:p w14:paraId="7CAD8A0F" w14:textId="77777777" w:rsidR="00BF2A3A" w:rsidRPr="00BF2A3A" w:rsidRDefault="00BF2A3A" w:rsidP="00BF2A3A">
      <w:pPr>
        <w:pStyle w:val="CommentText"/>
        <w:jc w:val="both"/>
        <w:rPr>
          <w:rFonts w:ascii="Arial" w:hAnsi="Arial" w:cs="Arial"/>
          <w:b/>
          <w:bCs/>
          <w:sz w:val="22"/>
          <w:szCs w:val="22"/>
          <w:u w:val="single"/>
        </w:rPr>
      </w:pPr>
      <w:r w:rsidRPr="00BF2A3A">
        <w:rPr>
          <w:rFonts w:ascii="Arial" w:hAnsi="Arial" w:cs="Arial"/>
          <w:b/>
          <w:bCs/>
          <w:sz w:val="22"/>
          <w:szCs w:val="22"/>
          <w:u w:val="single"/>
        </w:rPr>
        <w:t>Background</w:t>
      </w:r>
    </w:p>
    <w:p w14:paraId="28964A5A" w14:textId="77777777" w:rsidR="00BF2A3A" w:rsidRPr="00BF2A3A" w:rsidRDefault="00BF2A3A" w:rsidP="00BF2A3A">
      <w:pPr>
        <w:pStyle w:val="CommentText"/>
        <w:jc w:val="both"/>
        <w:rPr>
          <w:rFonts w:ascii="Arial" w:hAnsi="Arial" w:cs="Arial"/>
          <w:sz w:val="22"/>
          <w:szCs w:val="22"/>
        </w:rPr>
      </w:pPr>
      <w:r w:rsidRPr="00BF2A3A">
        <w:rPr>
          <w:rFonts w:ascii="Arial" w:hAnsi="Arial" w:cs="Arial"/>
          <w:sz w:val="22"/>
          <w:szCs w:val="22"/>
        </w:rPr>
        <w:t xml:space="preserve">The incidence of gestational diabetes (GDM) and the number of overweight and obese pregnant women are rising. While both GDM and high BMI independently cause adverse outcomes, less is known about combined risks to maternal and neonatal outcomes.  </w:t>
      </w:r>
    </w:p>
    <w:p w14:paraId="28AF1D90" w14:textId="68C82276" w:rsidR="00BF2A3A" w:rsidRPr="00BF2A3A" w:rsidRDefault="00BF2A3A" w:rsidP="00BF2A3A">
      <w:pPr>
        <w:pStyle w:val="CommentText"/>
        <w:jc w:val="both"/>
        <w:rPr>
          <w:rFonts w:ascii="Arial" w:hAnsi="Arial" w:cs="Arial"/>
          <w:b/>
          <w:bCs/>
          <w:sz w:val="22"/>
          <w:szCs w:val="22"/>
          <w:u w:val="single"/>
        </w:rPr>
      </w:pPr>
      <w:r>
        <w:rPr>
          <w:rFonts w:ascii="Arial" w:hAnsi="Arial" w:cs="Arial"/>
          <w:b/>
          <w:bCs/>
          <w:sz w:val="22"/>
          <w:szCs w:val="22"/>
          <w:u w:val="single"/>
        </w:rPr>
        <w:t>Aims</w:t>
      </w:r>
    </w:p>
    <w:p w14:paraId="610DDFFF" w14:textId="77777777" w:rsidR="00BF2A3A" w:rsidRPr="00BF2A3A" w:rsidRDefault="00BF2A3A" w:rsidP="00BF2A3A">
      <w:pPr>
        <w:jc w:val="both"/>
        <w:rPr>
          <w:rFonts w:ascii="Arial" w:hAnsi="Arial" w:cs="Arial"/>
          <w:sz w:val="22"/>
          <w:szCs w:val="22"/>
        </w:rPr>
      </w:pPr>
      <w:r w:rsidRPr="00BF2A3A">
        <w:rPr>
          <w:rFonts w:ascii="Arial" w:hAnsi="Arial" w:cs="Arial"/>
          <w:sz w:val="22"/>
          <w:szCs w:val="22"/>
        </w:rPr>
        <w:t xml:space="preserve">Explore the individual and combined risks of high maternal BMI and GDM diagnosis on maternal and neonatal outcomes. Specifically, the primary aim is to determine whether the current management of GDM modifies the effect of high maternal BMI on the risk of large for gestational age (LGA) birth. </w:t>
      </w:r>
    </w:p>
    <w:p w14:paraId="6C572CCD" w14:textId="77777777" w:rsidR="00BF2A3A" w:rsidRPr="00BF2A3A" w:rsidRDefault="00BF2A3A" w:rsidP="00BF2A3A">
      <w:pPr>
        <w:pStyle w:val="CommentText"/>
        <w:jc w:val="both"/>
        <w:rPr>
          <w:rFonts w:ascii="Arial" w:hAnsi="Arial" w:cs="Arial"/>
          <w:b/>
          <w:bCs/>
          <w:sz w:val="22"/>
          <w:szCs w:val="22"/>
          <w:u w:val="single"/>
        </w:rPr>
      </w:pPr>
      <w:r w:rsidRPr="00BF2A3A">
        <w:rPr>
          <w:rFonts w:ascii="Arial" w:hAnsi="Arial" w:cs="Arial"/>
          <w:b/>
          <w:bCs/>
          <w:sz w:val="22"/>
          <w:szCs w:val="22"/>
          <w:u w:val="single"/>
        </w:rPr>
        <w:t>Methods</w:t>
      </w:r>
    </w:p>
    <w:p w14:paraId="675E9547" w14:textId="77777777" w:rsidR="00BF2A3A" w:rsidRPr="00BF2A3A" w:rsidRDefault="00BF2A3A" w:rsidP="00BF2A3A">
      <w:pPr>
        <w:pStyle w:val="CommentText"/>
        <w:jc w:val="both"/>
        <w:rPr>
          <w:rFonts w:ascii="Arial" w:hAnsi="Arial" w:cs="Arial"/>
          <w:sz w:val="22"/>
          <w:szCs w:val="22"/>
          <w:vertAlign w:val="superscript"/>
        </w:rPr>
      </w:pPr>
      <w:r w:rsidRPr="00BF2A3A">
        <w:rPr>
          <w:rFonts w:ascii="Arial" w:hAnsi="Arial" w:cs="Arial"/>
          <w:sz w:val="22"/>
          <w:szCs w:val="22"/>
        </w:rPr>
        <w:t>Data of 21,980 pregnant women were categorised into four groups based on their pre-pregnancy BMI (‘healthy’ &lt;25 kg/m</w:t>
      </w:r>
      <w:r w:rsidRPr="00BF2A3A">
        <w:rPr>
          <w:rFonts w:ascii="Arial" w:hAnsi="Arial" w:cs="Arial"/>
          <w:sz w:val="22"/>
          <w:szCs w:val="22"/>
          <w:vertAlign w:val="superscript"/>
        </w:rPr>
        <w:t>2</w:t>
      </w:r>
      <w:r w:rsidRPr="00BF2A3A">
        <w:rPr>
          <w:rFonts w:ascii="Arial" w:hAnsi="Arial" w:cs="Arial"/>
          <w:sz w:val="22"/>
          <w:szCs w:val="22"/>
        </w:rPr>
        <w:t xml:space="preserve"> vs Overweight/Obese BMI </w:t>
      </w:r>
      <w:r w:rsidRPr="00BF2A3A">
        <w:rPr>
          <w:rFonts w:ascii="Arial" w:hAnsi="Arial" w:cs="Arial"/>
          <w:sz w:val="22"/>
          <w:szCs w:val="22"/>
        </w:rPr>
        <w:sym w:font="Symbol" w:char="F0B3"/>
      </w:r>
      <w:r w:rsidRPr="00BF2A3A">
        <w:rPr>
          <w:rFonts w:ascii="Arial" w:hAnsi="Arial" w:cs="Arial"/>
          <w:sz w:val="22"/>
          <w:szCs w:val="22"/>
        </w:rPr>
        <w:t>25 kg/m</w:t>
      </w:r>
      <w:r w:rsidRPr="00BF2A3A">
        <w:rPr>
          <w:rFonts w:ascii="Arial" w:hAnsi="Arial" w:cs="Arial"/>
          <w:sz w:val="22"/>
          <w:szCs w:val="22"/>
          <w:vertAlign w:val="superscript"/>
        </w:rPr>
        <w:t>2</w:t>
      </w:r>
      <w:r w:rsidRPr="00BF2A3A">
        <w:rPr>
          <w:rFonts w:ascii="Arial" w:hAnsi="Arial" w:cs="Arial"/>
          <w:sz w:val="22"/>
          <w:szCs w:val="22"/>
        </w:rPr>
        <w:t>) and GDM status. Risk ratios were calculated after adjusting for confounding, to measure the independent and combined risks of high maternal BMI and GDM along with stratum specific risk ratios. The effect measure modification (EMM) of BMI by GDM diagnosis was assessed using the Relative Excess Risk due to Interaction (RERI).</w:t>
      </w:r>
    </w:p>
    <w:p w14:paraId="3291B8B5" w14:textId="77777777" w:rsidR="00BF2A3A" w:rsidRPr="00BF2A3A" w:rsidRDefault="00BF2A3A" w:rsidP="00BF2A3A">
      <w:pPr>
        <w:pStyle w:val="CommentText"/>
        <w:jc w:val="both"/>
        <w:rPr>
          <w:rFonts w:ascii="Arial" w:hAnsi="Arial" w:cs="Arial"/>
          <w:b/>
          <w:bCs/>
          <w:sz w:val="22"/>
          <w:szCs w:val="22"/>
          <w:u w:val="single"/>
        </w:rPr>
      </w:pPr>
      <w:r w:rsidRPr="00BF2A3A">
        <w:rPr>
          <w:rFonts w:ascii="Arial" w:hAnsi="Arial" w:cs="Arial"/>
          <w:b/>
          <w:bCs/>
          <w:sz w:val="22"/>
          <w:szCs w:val="22"/>
          <w:u w:val="single"/>
        </w:rPr>
        <w:t>Results</w:t>
      </w:r>
    </w:p>
    <w:p w14:paraId="78DDA604" w14:textId="1F565064" w:rsidR="00BF2A3A" w:rsidRPr="00BF2A3A" w:rsidRDefault="00BF2A3A" w:rsidP="00BF2A3A">
      <w:pPr>
        <w:pStyle w:val="CommentText"/>
        <w:jc w:val="both"/>
        <w:rPr>
          <w:rFonts w:ascii="Arial" w:eastAsiaTheme="minorEastAsia" w:hAnsi="Arial" w:cs="Arial"/>
          <w:b/>
          <w:bCs/>
          <w:sz w:val="22"/>
          <w:szCs w:val="22"/>
          <w:lang w:eastAsia="zh-CN"/>
        </w:rPr>
      </w:pPr>
      <w:r w:rsidRPr="00BF2A3A">
        <w:rPr>
          <w:rFonts w:ascii="Arial" w:eastAsiaTheme="minorEastAsia" w:hAnsi="Arial" w:cs="Arial"/>
          <w:sz w:val="22"/>
          <w:szCs w:val="22"/>
          <w:lang w:eastAsia="zh-CN"/>
        </w:rPr>
        <w:t xml:space="preserve">Compared with a reference group of women with healthy BMI and no GDM (n=9578), the risk of LGA was similar among women with GDM and healthy BMI (1.05 (95%CI 0.87, 1.28)), higher among women with no GDM and high BMI (RR 1.75 (95%CI 1.60, 1.93), and higher again among women with both GDM and high BMI (2.16 (95%CI 1.92, 2.42). There was evidence that treatment for GDM modified the effect of high BMI on LGA (RERI 0.34 (95%CI -0.12, 0.28). Findings for other outcomes differed widely with no evidence of EMM for newborn respiratory distress and caesarean section. </w:t>
      </w:r>
    </w:p>
    <w:p w14:paraId="6A36EB53" w14:textId="77777777" w:rsidR="00BF2A3A" w:rsidRPr="00BF2A3A" w:rsidRDefault="00BF2A3A" w:rsidP="00BF2A3A">
      <w:pPr>
        <w:pStyle w:val="CommentText"/>
        <w:jc w:val="both"/>
        <w:rPr>
          <w:rFonts w:ascii="Arial" w:hAnsi="Arial" w:cs="Arial"/>
          <w:b/>
          <w:bCs/>
          <w:sz w:val="22"/>
          <w:szCs w:val="22"/>
          <w:u w:val="single"/>
        </w:rPr>
      </w:pPr>
      <w:r w:rsidRPr="00BF2A3A">
        <w:rPr>
          <w:rFonts w:ascii="Arial" w:hAnsi="Arial" w:cs="Arial"/>
          <w:b/>
          <w:bCs/>
          <w:sz w:val="22"/>
          <w:szCs w:val="22"/>
          <w:u w:val="single"/>
        </w:rPr>
        <w:t>Conclusions</w:t>
      </w:r>
    </w:p>
    <w:p w14:paraId="57EEC35D" w14:textId="77777777" w:rsidR="00BF2A3A" w:rsidRPr="00BF2A3A" w:rsidRDefault="00BF2A3A" w:rsidP="00BF2A3A">
      <w:pPr>
        <w:pStyle w:val="CommentText"/>
        <w:jc w:val="both"/>
        <w:rPr>
          <w:rFonts w:ascii="Arial" w:hAnsi="Arial" w:cs="Arial"/>
          <w:sz w:val="22"/>
          <w:szCs w:val="22"/>
        </w:rPr>
      </w:pPr>
      <w:r w:rsidRPr="00BF2A3A">
        <w:rPr>
          <w:rFonts w:ascii="Arial" w:hAnsi="Arial" w:cs="Arial"/>
          <w:sz w:val="22"/>
          <w:szCs w:val="22"/>
        </w:rPr>
        <w:t xml:space="preserve">Women with higher BMI alone or with GDM may need an individualised approach to improve risk of LGA.  </w:t>
      </w:r>
    </w:p>
    <w:p w14:paraId="4B0D80BA" w14:textId="77777777" w:rsidR="00215B7A" w:rsidRPr="00BF2A3A" w:rsidRDefault="00215B7A" w:rsidP="00BF2A3A">
      <w:pPr>
        <w:rPr>
          <w:rFonts w:ascii="Arial" w:hAnsi="Arial" w:cs="Arial"/>
          <w:sz w:val="22"/>
          <w:szCs w:val="22"/>
        </w:rPr>
      </w:pPr>
    </w:p>
    <w:sectPr w:rsidR="00215B7A" w:rsidRPr="00BF2A3A" w:rsidSect="0045313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3A"/>
    <w:rsid w:val="0000529E"/>
    <w:rsid w:val="00006C14"/>
    <w:rsid w:val="00006CF4"/>
    <w:rsid w:val="00011EDB"/>
    <w:rsid w:val="0002253C"/>
    <w:rsid w:val="00024F8A"/>
    <w:rsid w:val="0003138A"/>
    <w:rsid w:val="00033801"/>
    <w:rsid w:val="00033909"/>
    <w:rsid w:val="0003716D"/>
    <w:rsid w:val="00052022"/>
    <w:rsid w:val="000561BA"/>
    <w:rsid w:val="000607D2"/>
    <w:rsid w:val="00063E41"/>
    <w:rsid w:val="00064D14"/>
    <w:rsid w:val="0006650E"/>
    <w:rsid w:val="00070A02"/>
    <w:rsid w:val="000745DF"/>
    <w:rsid w:val="00074F9E"/>
    <w:rsid w:val="00080528"/>
    <w:rsid w:val="000839E0"/>
    <w:rsid w:val="000A1415"/>
    <w:rsid w:val="000A2140"/>
    <w:rsid w:val="000A2533"/>
    <w:rsid w:val="000A3A83"/>
    <w:rsid w:val="000B01C2"/>
    <w:rsid w:val="000B192B"/>
    <w:rsid w:val="000B1C7B"/>
    <w:rsid w:val="000B1D19"/>
    <w:rsid w:val="000C04B0"/>
    <w:rsid w:val="000D7160"/>
    <w:rsid w:val="000E26A7"/>
    <w:rsid w:val="000F2420"/>
    <w:rsid w:val="000F5C3E"/>
    <w:rsid w:val="000F67D3"/>
    <w:rsid w:val="00112016"/>
    <w:rsid w:val="001122B3"/>
    <w:rsid w:val="00113BF7"/>
    <w:rsid w:val="00115E21"/>
    <w:rsid w:val="0012166F"/>
    <w:rsid w:val="001216BC"/>
    <w:rsid w:val="00131EBE"/>
    <w:rsid w:val="00137BAA"/>
    <w:rsid w:val="00144F47"/>
    <w:rsid w:val="00147D61"/>
    <w:rsid w:val="001508FA"/>
    <w:rsid w:val="00150955"/>
    <w:rsid w:val="001509ED"/>
    <w:rsid w:val="00156FB7"/>
    <w:rsid w:val="00162326"/>
    <w:rsid w:val="0017041F"/>
    <w:rsid w:val="00172D55"/>
    <w:rsid w:val="00182F69"/>
    <w:rsid w:val="00185D1B"/>
    <w:rsid w:val="001911D2"/>
    <w:rsid w:val="00191626"/>
    <w:rsid w:val="001931E8"/>
    <w:rsid w:val="001947BD"/>
    <w:rsid w:val="001973C7"/>
    <w:rsid w:val="001A1CC5"/>
    <w:rsid w:val="001A6045"/>
    <w:rsid w:val="001A62DF"/>
    <w:rsid w:val="001A6A85"/>
    <w:rsid w:val="001A7915"/>
    <w:rsid w:val="001A7927"/>
    <w:rsid w:val="001B0AB9"/>
    <w:rsid w:val="001B43F3"/>
    <w:rsid w:val="001B6A17"/>
    <w:rsid w:val="001C0868"/>
    <w:rsid w:val="001D078A"/>
    <w:rsid w:val="001D6DF8"/>
    <w:rsid w:val="001E55F8"/>
    <w:rsid w:val="001F2A7B"/>
    <w:rsid w:val="001F2A7D"/>
    <w:rsid w:val="001F37DE"/>
    <w:rsid w:val="001F73EC"/>
    <w:rsid w:val="00200837"/>
    <w:rsid w:val="00206D8D"/>
    <w:rsid w:val="00207B59"/>
    <w:rsid w:val="002122EE"/>
    <w:rsid w:val="00215B7A"/>
    <w:rsid w:val="00216A31"/>
    <w:rsid w:val="00217D80"/>
    <w:rsid w:val="002246E1"/>
    <w:rsid w:val="00227929"/>
    <w:rsid w:val="002309EC"/>
    <w:rsid w:val="00230CD2"/>
    <w:rsid w:val="0023114B"/>
    <w:rsid w:val="00234631"/>
    <w:rsid w:val="002351C7"/>
    <w:rsid w:val="0023565D"/>
    <w:rsid w:val="00235B42"/>
    <w:rsid w:val="00240663"/>
    <w:rsid w:val="00247269"/>
    <w:rsid w:val="00250949"/>
    <w:rsid w:val="00260A72"/>
    <w:rsid w:val="002665F3"/>
    <w:rsid w:val="00274BA0"/>
    <w:rsid w:val="002816A6"/>
    <w:rsid w:val="00283820"/>
    <w:rsid w:val="00284D80"/>
    <w:rsid w:val="002865B2"/>
    <w:rsid w:val="00287F1C"/>
    <w:rsid w:val="002915B3"/>
    <w:rsid w:val="002963EA"/>
    <w:rsid w:val="002A2C3D"/>
    <w:rsid w:val="002A43ED"/>
    <w:rsid w:val="002A485A"/>
    <w:rsid w:val="002B0874"/>
    <w:rsid w:val="002B1A05"/>
    <w:rsid w:val="002B65CE"/>
    <w:rsid w:val="002C13C4"/>
    <w:rsid w:val="002C6F31"/>
    <w:rsid w:val="002C7ABC"/>
    <w:rsid w:val="002D1DAE"/>
    <w:rsid w:val="002D26B1"/>
    <w:rsid w:val="002D26B3"/>
    <w:rsid w:val="002E1B49"/>
    <w:rsid w:val="002E1BBE"/>
    <w:rsid w:val="002E2475"/>
    <w:rsid w:val="002E387B"/>
    <w:rsid w:val="002E4B76"/>
    <w:rsid w:val="002E7D63"/>
    <w:rsid w:val="002F0B16"/>
    <w:rsid w:val="002F6ABD"/>
    <w:rsid w:val="002F7459"/>
    <w:rsid w:val="002F75E7"/>
    <w:rsid w:val="003058A1"/>
    <w:rsid w:val="00306AC2"/>
    <w:rsid w:val="00306D53"/>
    <w:rsid w:val="00307331"/>
    <w:rsid w:val="00310538"/>
    <w:rsid w:val="00310D5F"/>
    <w:rsid w:val="00315509"/>
    <w:rsid w:val="00316428"/>
    <w:rsid w:val="00321915"/>
    <w:rsid w:val="003225D1"/>
    <w:rsid w:val="00322D74"/>
    <w:rsid w:val="0032303A"/>
    <w:rsid w:val="00334726"/>
    <w:rsid w:val="00337C86"/>
    <w:rsid w:val="00342544"/>
    <w:rsid w:val="0034383D"/>
    <w:rsid w:val="00346926"/>
    <w:rsid w:val="00346BC2"/>
    <w:rsid w:val="00347956"/>
    <w:rsid w:val="003540FB"/>
    <w:rsid w:val="00357B12"/>
    <w:rsid w:val="00363C55"/>
    <w:rsid w:val="00366A79"/>
    <w:rsid w:val="0037725A"/>
    <w:rsid w:val="00381AE7"/>
    <w:rsid w:val="00382A66"/>
    <w:rsid w:val="00384E8D"/>
    <w:rsid w:val="00387C39"/>
    <w:rsid w:val="00391B26"/>
    <w:rsid w:val="003A6E13"/>
    <w:rsid w:val="003B02CA"/>
    <w:rsid w:val="003B16ED"/>
    <w:rsid w:val="003B366D"/>
    <w:rsid w:val="003B50DC"/>
    <w:rsid w:val="003B58BE"/>
    <w:rsid w:val="003B6C73"/>
    <w:rsid w:val="003B78F2"/>
    <w:rsid w:val="003C19FF"/>
    <w:rsid w:val="003D1326"/>
    <w:rsid w:val="003D2B97"/>
    <w:rsid w:val="003D37FF"/>
    <w:rsid w:val="003E6B25"/>
    <w:rsid w:val="003E6B92"/>
    <w:rsid w:val="003F27FD"/>
    <w:rsid w:val="003F37BD"/>
    <w:rsid w:val="003F5665"/>
    <w:rsid w:val="00416069"/>
    <w:rsid w:val="004179D8"/>
    <w:rsid w:val="00427F43"/>
    <w:rsid w:val="004300F8"/>
    <w:rsid w:val="004306B9"/>
    <w:rsid w:val="00435A6E"/>
    <w:rsid w:val="00440B08"/>
    <w:rsid w:val="004416E6"/>
    <w:rsid w:val="004464DC"/>
    <w:rsid w:val="00452A16"/>
    <w:rsid w:val="0045313B"/>
    <w:rsid w:val="0045755A"/>
    <w:rsid w:val="004601A6"/>
    <w:rsid w:val="00463207"/>
    <w:rsid w:val="00463798"/>
    <w:rsid w:val="00470F04"/>
    <w:rsid w:val="00472C88"/>
    <w:rsid w:val="00477297"/>
    <w:rsid w:val="004921F8"/>
    <w:rsid w:val="00495F57"/>
    <w:rsid w:val="0049676A"/>
    <w:rsid w:val="00497C0F"/>
    <w:rsid w:val="004A024D"/>
    <w:rsid w:val="004A0F24"/>
    <w:rsid w:val="004A10C0"/>
    <w:rsid w:val="004A1F09"/>
    <w:rsid w:val="004A48BF"/>
    <w:rsid w:val="004B577B"/>
    <w:rsid w:val="004C086C"/>
    <w:rsid w:val="004D51DB"/>
    <w:rsid w:val="004F304D"/>
    <w:rsid w:val="004F3062"/>
    <w:rsid w:val="004F5526"/>
    <w:rsid w:val="004F57CA"/>
    <w:rsid w:val="005042B7"/>
    <w:rsid w:val="005126CB"/>
    <w:rsid w:val="005130B2"/>
    <w:rsid w:val="00517F5F"/>
    <w:rsid w:val="00520105"/>
    <w:rsid w:val="00520FF8"/>
    <w:rsid w:val="005225A1"/>
    <w:rsid w:val="0052569C"/>
    <w:rsid w:val="005275B9"/>
    <w:rsid w:val="00531E4F"/>
    <w:rsid w:val="00531E57"/>
    <w:rsid w:val="005348FB"/>
    <w:rsid w:val="00535DB7"/>
    <w:rsid w:val="005446FC"/>
    <w:rsid w:val="00546E13"/>
    <w:rsid w:val="00554716"/>
    <w:rsid w:val="0055489D"/>
    <w:rsid w:val="00555047"/>
    <w:rsid w:val="00572798"/>
    <w:rsid w:val="0057444B"/>
    <w:rsid w:val="0058513B"/>
    <w:rsid w:val="00585E27"/>
    <w:rsid w:val="005903B9"/>
    <w:rsid w:val="00595BC6"/>
    <w:rsid w:val="005A0B9D"/>
    <w:rsid w:val="005A6B00"/>
    <w:rsid w:val="005B1984"/>
    <w:rsid w:val="005C44F4"/>
    <w:rsid w:val="005D3D59"/>
    <w:rsid w:val="005D7567"/>
    <w:rsid w:val="005D7A4B"/>
    <w:rsid w:val="005E08F6"/>
    <w:rsid w:val="005E0DEE"/>
    <w:rsid w:val="005E44D7"/>
    <w:rsid w:val="005F08DA"/>
    <w:rsid w:val="005F1CC2"/>
    <w:rsid w:val="005F2BDA"/>
    <w:rsid w:val="00600568"/>
    <w:rsid w:val="00605490"/>
    <w:rsid w:val="006076F6"/>
    <w:rsid w:val="00611DF5"/>
    <w:rsid w:val="00612D0E"/>
    <w:rsid w:val="00621292"/>
    <w:rsid w:val="00624ED6"/>
    <w:rsid w:val="00636A43"/>
    <w:rsid w:val="00641895"/>
    <w:rsid w:val="00644AF2"/>
    <w:rsid w:val="00647E68"/>
    <w:rsid w:val="00653C5D"/>
    <w:rsid w:val="006548A5"/>
    <w:rsid w:val="0065577B"/>
    <w:rsid w:val="00655A50"/>
    <w:rsid w:val="0066097E"/>
    <w:rsid w:val="00660FE7"/>
    <w:rsid w:val="00665AD6"/>
    <w:rsid w:val="006729AC"/>
    <w:rsid w:val="0067742A"/>
    <w:rsid w:val="00682671"/>
    <w:rsid w:val="00685FAF"/>
    <w:rsid w:val="00686396"/>
    <w:rsid w:val="00686F33"/>
    <w:rsid w:val="00693590"/>
    <w:rsid w:val="00693718"/>
    <w:rsid w:val="006939EE"/>
    <w:rsid w:val="006A7B61"/>
    <w:rsid w:val="006B2208"/>
    <w:rsid w:val="006B305F"/>
    <w:rsid w:val="006B43B4"/>
    <w:rsid w:val="006B6A40"/>
    <w:rsid w:val="006C04F1"/>
    <w:rsid w:val="006D2BFA"/>
    <w:rsid w:val="006D434F"/>
    <w:rsid w:val="006E2F42"/>
    <w:rsid w:val="006E6C86"/>
    <w:rsid w:val="006F297E"/>
    <w:rsid w:val="006F45F9"/>
    <w:rsid w:val="00703686"/>
    <w:rsid w:val="00706E10"/>
    <w:rsid w:val="007070A5"/>
    <w:rsid w:val="00712A63"/>
    <w:rsid w:val="0071799C"/>
    <w:rsid w:val="00720844"/>
    <w:rsid w:val="00721D0E"/>
    <w:rsid w:val="00725E13"/>
    <w:rsid w:val="00730D67"/>
    <w:rsid w:val="00744E53"/>
    <w:rsid w:val="00752C47"/>
    <w:rsid w:val="007577B7"/>
    <w:rsid w:val="007609C0"/>
    <w:rsid w:val="00761EEF"/>
    <w:rsid w:val="00765481"/>
    <w:rsid w:val="00766217"/>
    <w:rsid w:val="00767BFF"/>
    <w:rsid w:val="00767C56"/>
    <w:rsid w:val="00770CC9"/>
    <w:rsid w:val="00771C61"/>
    <w:rsid w:val="00775281"/>
    <w:rsid w:val="007758E0"/>
    <w:rsid w:val="00777B08"/>
    <w:rsid w:val="00782EFB"/>
    <w:rsid w:val="0078305D"/>
    <w:rsid w:val="00783BD1"/>
    <w:rsid w:val="00783DEC"/>
    <w:rsid w:val="007856DB"/>
    <w:rsid w:val="00792354"/>
    <w:rsid w:val="00794509"/>
    <w:rsid w:val="00796FA6"/>
    <w:rsid w:val="007A661A"/>
    <w:rsid w:val="007B10B3"/>
    <w:rsid w:val="007B3633"/>
    <w:rsid w:val="007B75ED"/>
    <w:rsid w:val="007C409D"/>
    <w:rsid w:val="007C58F3"/>
    <w:rsid w:val="007D09D3"/>
    <w:rsid w:val="007D0E1D"/>
    <w:rsid w:val="007D4C9C"/>
    <w:rsid w:val="007D6AB5"/>
    <w:rsid w:val="007E3ECB"/>
    <w:rsid w:val="007E5F5D"/>
    <w:rsid w:val="007F1146"/>
    <w:rsid w:val="007F1CD7"/>
    <w:rsid w:val="00803DFE"/>
    <w:rsid w:val="00810499"/>
    <w:rsid w:val="00816E3F"/>
    <w:rsid w:val="00824337"/>
    <w:rsid w:val="00833455"/>
    <w:rsid w:val="008334AE"/>
    <w:rsid w:val="00834419"/>
    <w:rsid w:val="00835A6C"/>
    <w:rsid w:val="008367B2"/>
    <w:rsid w:val="0084126B"/>
    <w:rsid w:val="0084296D"/>
    <w:rsid w:val="0084462E"/>
    <w:rsid w:val="0085126F"/>
    <w:rsid w:val="00851F96"/>
    <w:rsid w:val="0086300C"/>
    <w:rsid w:val="00865252"/>
    <w:rsid w:val="008734C8"/>
    <w:rsid w:val="00874600"/>
    <w:rsid w:val="008776D5"/>
    <w:rsid w:val="00880B5E"/>
    <w:rsid w:val="00882752"/>
    <w:rsid w:val="00887267"/>
    <w:rsid w:val="00890084"/>
    <w:rsid w:val="0089027B"/>
    <w:rsid w:val="0089154C"/>
    <w:rsid w:val="00895C1C"/>
    <w:rsid w:val="008A2435"/>
    <w:rsid w:val="008A6372"/>
    <w:rsid w:val="008A68F6"/>
    <w:rsid w:val="008B186E"/>
    <w:rsid w:val="008B5DB0"/>
    <w:rsid w:val="008B7B87"/>
    <w:rsid w:val="008C4E52"/>
    <w:rsid w:val="008C77C4"/>
    <w:rsid w:val="008D5C0A"/>
    <w:rsid w:val="008E0119"/>
    <w:rsid w:val="008E50AD"/>
    <w:rsid w:val="008F004F"/>
    <w:rsid w:val="008F2C17"/>
    <w:rsid w:val="008F7CCA"/>
    <w:rsid w:val="008F7E7D"/>
    <w:rsid w:val="00901DB6"/>
    <w:rsid w:val="00905B0D"/>
    <w:rsid w:val="009115EF"/>
    <w:rsid w:val="0092363E"/>
    <w:rsid w:val="00930A6A"/>
    <w:rsid w:val="00933A0C"/>
    <w:rsid w:val="00937182"/>
    <w:rsid w:val="009446F1"/>
    <w:rsid w:val="0094683B"/>
    <w:rsid w:val="00947067"/>
    <w:rsid w:val="0094738B"/>
    <w:rsid w:val="00947C42"/>
    <w:rsid w:val="00951739"/>
    <w:rsid w:val="00965505"/>
    <w:rsid w:val="00971CC3"/>
    <w:rsid w:val="00976894"/>
    <w:rsid w:val="009806CB"/>
    <w:rsid w:val="00983DE8"/>
    <w:rsid w:val="0098453D"/>
    <w:rsid w:val="00987223"/>
    <w:rsid w:val="0099519A"/>
    <w:rsid w:val="009A0891"/>
    <w:rsid w:val="009A5AD1"/>
    <w:rsid w:val="009A6F5B"/>
    <w:rsid w:val="009B502D"/>
    <w:rsid w:val="009B5673"/>
    <w:rsid w:val="009C0756"/>
    <w:rsid w:val="009C46E2"/>
    <w:rsid w:val="009C6AB1"/>
    <w:rsid w:val="009C6EE0"/>
    <w:rsid w:val="009C793D"/>
    <w:rsid w:val="009D64A4"/>
    <w:rsid w:val="009F31A1"/>
    <w:rsid w:val="009F34FE"/>
    <w:rsid w:val="009F672F"/>
    <w:rsid w:val="009F6DAB"/>
    <w:rsid w:val="00A01A19"/>
    <w:rsid w:val="00A02D14"/>
    <w:rsid w:val="00A03E22"/>
    <w:rsid w:val="00A04EAA"/>
    <w:rsid w:val="00A04F5F"/>
    <w:rsid w:val="00A119F8"/>
    <w:rsid w:val="00A13142"/>
    <w:rsid w:val="00A14501"/>
    <w:rsid w:val="00A15017"/>
    <w:rsid w:val="00A200E7"/>
    <w:rsid w:val="00A26D36"/>
    <w:rsid w:val="00A27B08"/>
    <w:rsid w:val="00A334BA"/>
    <w:rsid w:val="00A35F12"/>
    <w:rsid w:val="00A365B2"/>
    <w:rsid w:val="00A378BB"/>
    <w:rsid w:val="00A41151"/>
    <w:rsid w:val="00A42CFC"/>
    <w:rsid w:val="00A43F10"/>
    <w:rsid w:val="00A454A8"/>
    <w:rsid w:val="00A45582"/>
    <w:rsid w:val="00A46680"/>
    <w:rsid w:val="00A57A3F"/>
    <w:rsid w:val="00A6478A"/>
    <w:rsid w:val="00A65805"/>
    <w:rsid w:val="00A66DDB"/>
    <w:rsid w:val="00A90469"/>
    <w:rsid w:val="00A96090"/>
    <w:rsid w:val="00A977EF"/>
    <w:rsid w:val="00AA0132"/>
    <w:rsid w:val="00AA017D"/>
    <w:rsid w:val="00AA132A"/>
    <w:rsid w:val="00AA23E4"/>
    <w:rsid w:val="00AA2B20"/>
    <w:rsid w:val="00AA478B"/>
    <w:rsid w:val="00AA688D"/>
    <w:rsid w:val="00AA764C"/>
    <w:rsid w:val="00AB78AF"/>
    <w:rsid w:val="00AC31B1"/>
    <w:rsid w:val="00AC5A19"/>
    <w:rsid w:val="00AC7B4A"/>
    <w:rsid w:val="00AD1697"/>
    <w:rsid w:val="00AD22CC"/>
    <w:rsid w:val="00AD3FDA"/>
    <w:rsid w:val="00AD60E5"/>
    <w:rsid w:val="00AD6943"/>
    <w:rsid w:val="00AE0246"/>
    <w:rsid w:val="00AE0B5D"/>
    <w:rsid w:val="00AE1799"/>
    <w:rsid w:val="00AE1EDD"/>
    <w:rsid w:val="00AF0494"/>
    <w:rsid w:val="00AF1891"/>
    <w:rsid w:val="00AF269D"/>
    <w:rsid w:val="00AF4366"/>
    <w:rsid w:val="00B05BF0"/>
    <w:rsid w:val="00B21260"/>
    <w:rsid w:val="00B22556"/>
    <w:rsid w:val="00B24F3A"/>
    <w:rsid w:val="00B2507D"/>
    <w:rsid w:val="00B274AE"/>
    <w:rsid w:val="00B27CBF"/>
    <w:rsid w:val="00B30726"/>
    <w:rsid w:val="00B34265"/>
    <w:rsid w:val="00B36182"/>
    <w:rsid w:val="00B46C8A"/>
    <w:rsid w:val="00B50F0B"/>
    <w:rsid w:val="00B56EC2"/>
    <w:rsid w:val="00B67E37"/>
    <w:rsid w:val="00B86208"/>
    <w:rsid w:val="00B90353"/>
    <w:rsid w:val="00B9040C"/>
    <w:rsid w:val="00B93131"/>
    <w:rsid w:val="00B96C7C"/>
    <w:rsid w:val="00BA3C23"/>
    <w:rsid w:val="00BA4C8B"/>
    <w:rsid w:val="00BA4FA6"/>
    <w:rsid w:val="00BB250C"/>
    <w:rsid w:val="00BB2B86"/>
    <w:rsid w:val="00BB6E72"/>
    <w:rsid w:val="00BB79D8"/>
    <w:rsid w:val="00BC1ECF"/>
    <w:rsid w:val="00BC30CE"/>
    <w:rsid w:val="00BC53DE"/>
    <w:rsid w:val="00BC78A3"/>
    <w:rsid w:val="00BD0476"/>
    <w:rsid w:val="00BD0838"/>
    <w:rsid w:val="00BD4EFD"/>
    <w:rsid w:val="00BE03BA"/>
    <w:rsid w:val="00BE5301"/>
    <w:rsid w:val="00BF0040"/>
    <w:rsid w:val="00BF08D1"/>
    <w:rsid w:val="00BF11AA"/>
    <w:rsid w:val="00BF26BB"/>
    <w:rsid w:val="00BF2A3A"/>
    <w:rsid w:val="00BF3A5D"/>
    <w:rsid w:val="00BF651F"/>
    <w:rsid w:val="00BF6A51"/>
    <w:rsid w:val="00C025F3"/>
    <w:rsid w:val="00C049C2"/>
    <w:rsid w:val="00C060CE"/>
    <w:rsid w:val="00C07636"/>
    <w:rsid w:val="00C150E2"/>
    <w:rsid w:val="00C2417A"/>
    <w:rsid w:val="00C253C3"/>
    <w:rsid w:val="00C42719"/>
    <w:rsid w:val="00C4290A"/>
    <w:rsid w:val="00C44191"/>
    <w:rsid w:val="00C44887"/>
    <w:rsid w:val="00C45F8B"/>
    <w:rsid w:val="00C5396B"/>
    <w:rsid w:val="00C544A7"/>
    <w:rsid w:val="00C5593B"/>
    <w:rsid w:val="00C62C60"/>
    <w:rsid w:val="00C63586"/>
    <w:rsid w:val="00C64EF2"/>
    <w:rsid w:val="00C6795B"/>
    <w:rsid w:val="00C67C3A"/>
    <w:rsid w:val="00C70241"/>
    <w:rsid w:val="00C71C08"/>
    <w:rsid w:val="00C72581"/>
    <w:rsid w:val="00C7412C"/>
    <w:rsid w:val="00C74A2E"/>
    <w:rsid w:val="00C75D22"/>
    <w:rsid w:val="00C97799"/>
    <w:rsid w:val="00CA360A"/>
    <w:rsid w:val="00CB3DFC"/>
    <w:rsid w:val="00CB62BF"/>
    <w:rsid w:val="00CB7903"/>
    <w:rsid w:val="00CC0735"/>
    <w:rsid w:val="00CC14CE"/>
    <w:rsid w:val="00CD2B30"/>
    <w:rsid w:val="00CD376D"/>
    <w:rsid w:val="00CD40F4"/>
    <w:rsid w:val="00CE04A2"/>
    <w:rsid w:val="00CE1BFD"/>
    <w:rsid w:val="00CE49A3"/>
    <w:rsid w:val="00CF2C72"/>
    <w:rsid w:val="00CF6665"/>
    <w:rsid w:val="00CF69E5"/>
    <w:rsid w:val="00D357C3"/>
    <w:rsid w:val="00D37C6D"/>
    <w:rsid w:val="00D465B0"/>
    <w:rsid w:val="00D479E6"/>
    <w:rsid w:val="00D53D77"/>
    <w:rsid w:val="00D54A29"/>
    <w:rsid w:val="00D6056D"/>
    <w:rsid w:val="00D6072B"/>
    <w:rsid w:val="00D726DF"/>
    <w:rsid w:val="00D741BA"/>
    <w:rsid w:val="00D81118"/>
    <w:rsid w:val="00D8263E"/>
    <w:rsid w:val="00D84784"/>
    <w:rsid w:val="00D87D1E"/>
    <w:rsid w:val="00D914C9"/>
    <w:rsid w:val="00D92710"/>
    <w:rsid w:val="00D94340"/>
    <w:rsid w:val="00D96483"/>
    <w:rsid w:val="00D96D79"/>
    <w:rsid w:val="00DA4D76"/>
    <w:rsid w:val="00DB0D05"/>
    <w:rsid w:val="00DB15A2"/>
    <w:rsid w:val="00DB460D"/>
    <w:rsid w:val="00DB7C10"/>
    <w:rsid w:val="00DC001C"/>
    <w:rsid w:val="00DC091A"/>
    <w:rsid w:val="00DC0A3F"/>
    <w:rsid w:val="00DC16FC"/>
    <w:rsid w:val="00DC3B5E"/>
    <w:rsid w:val="00DD0120"/>
    <w:rsid w:val="00DD3794"/>
    <w:rsid w:val="00DD6600"/>
    <w:rsid w:val="00DF0611"/>
    <w:rsid w:val="00DF5B66"/>
    <w:rsid w:val="00DF6AB1"/>
    <w:rsid w:val="00E0011D"/>
    <w:rsid w:val="00E0208A"/>
    <w:rsid w:val="00E03797"/>
    <w:rsid w:val="00E0464A"/>
    <w:rsid w:val="00E06E9E"/>
    <w:rsid w:val="00E07052"/>
    <w:rsid w:val="00E1303B"/>
    <w:rsid w:val="00E158FD"/>
    <w:rsid w:val="00E16797"/>
    <w:rsid w:val="00E21179"/>
    <w:rsid w:val="00E25243"/>
    <w:rsid w:val="00E27994"/>
    <w:rsid w:val="00E30D7D"/>
    <w:rsid w:val="00E33459"/>
    <w:rsid w:val="00E37821"/>
    <w:rsid w:val="00E412E4"/>
    <w:rsid w:val="00E414E3"/>
    <w:rsid w:val="00E425B0"/>
    <w:rsid w:val="00E45511"/>
    <w:rsid w:val="00E66A72"/>
    <w:rsid w:val="00E71E6E"/>
    <w:rsid w:val="00E73986"/>
    <w:rsid w:val="00E8237B"/>
    <w:rsid w:val="00E82F5D"/>
    <w:rsid w:val="00E85289"/>
    <w:rsid w:val="00E908A8"/>
    <w:rsid w:val="00E93A3E"/>
    <w:rsid w:val="00EA07C1"/>
    <w:rsid w:val="00EA0A22"/>
    <w:rsid w:val="00EA3E32"/>
    <w:rsid w:val="00EA5609"/>
    <w:rsid w:val="00EB1E27"/>
    <w:rsid w:val="00EB4114"/>
    <w:rsid w:val="00EB6788"/>
    <w:rsid w:val="00EC1BE7"/>
    <w:rsid w:val="00EC4555"/>
    <w:rsid w:val="00EC79D4"/>
    <w:rsid w:val="00ED578F"/>
    <w:rsid w:val="00ED6674"/>
    <w:rsid w:val="00EE67C9"/>
    <w:rsid w:val="00EF1824"/>
    <w:rsid w:val="00EF274D"/>
    <w:rsid w:val="00EF47EC"/>
    <w:rsid w:val="00F05DA3"/>
    <w:rsid w:val="00F130BB"/>
    <w:rsid w:val="00F14279"/>
    <w:rsid w:val="00F16E23"/>
    <w:rsid w:val="00F30686"/>
    <w:rsid w:val="00F3283B"/>
    <w:rsid w:val="00F41317"/>
    <w:rsid w:val="00F46E03"/>
    <w:rsid w:val="00F50637"/>
    <w:rsid w:val="00F53C96"/>
    <w:rsid w:val="00F53FC5"/>
    <w:rsid w:val="00F55438"/>
    <w:rsid w:val="00F556E7"/>
    <w:rsid w:val="00F55AA5"/>
    <w:rsid w:val="00F5618E"/>
    <w:rsid w:val="00F618DE"/>
    <w:rsid w:val="00F647D8"/>
    <w:rsid w:val="00F67C36"/>
    <w:rsid w:val="00F7123D"/>
    <w:rsid w:val="00F7195B"/>
    <w:rsid w:val="00F86BDC"/>
    <w:rsid w:val="00FA4EB6"/>
    <w:rsid w:val="00FA59E5"/>
    <w:rsid w:val="00FB0432"/>
    <w:rsid w:val="00FB0B86"/>
    <w:rsid w:val="00FD2957"/>
    <w:rsid w:val="00FD3CCB"/>
    <w:rsid w:val="00FD5026"/>
    <w:rsid w:val="00FD6D65"/>
    <w:rsid w:val="00FE5124"/>
    <w:rsid w:val="00FF04D5"/>
    <w:rsid w:val="00FF095E"/>
    <w:rsid w:val="00FF2D59"/>
    <w:rsid w:val="00FF77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8BBF"/>
  <w15:chartTrackingRefBased/>
  <w15:docId w15:val="{46BDF853-DB59-904E-AFA4-2B860BD4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3A"/>
    <w:pPr>
      <w:spacing w:after="0" w:line="240" w:lineRule="auto"/>
    </w:pPr>
    <w:rPr>
      <w:kern w:val="0"/>
      <w:lang w:val="en-GB"/>
      <w14:ligatures w14:val="none"/>
    </w:rPr>
  </w:style>
  <w:style w:type="paragraph" w:styleId="Heading1">
    <w:name w:val="heading 1"/>
    <w:basedOn w:val="Normal"/>
    <w:next w:val="Normal"/>
    <w:link w:val="Heading1Char"/>
    <w:uiPriority w:val="9"/>
    <w:qFormat/>
    <w:rsid w:val="00BF2A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2A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2A3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2A3A"/>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F2A3A"/>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F2A3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F2A3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F2A3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2A3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3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F2A3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F2A3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F2A3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F2A3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F2A3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F2A3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F2A3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F2A3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F2A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2A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F2A3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2A3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F2A3A"/>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F2A3A"/>
    <w:rPr>
      <w:i/>
      <w:iCs/>
      <w:color w:val="404040" w:themeColor="text1" w:themeTint="BF"/>
      <w:lang w:val="en-GB"/>
    </w:rPr>
  </w:style>
  <w:style w:type="paragraph" w:styleId="ListParagraph">
    <w:name w:val="List Paragraph"/>
    <w:basedOn w:val="Normal"/>
    <w:uiPriority w:val="34"/>
    <w:qFormat/>
    <w:rsid w:val="00BF2A3A"/>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F2A3A"/>
    <w:rPr>
      <w:i/>
      <w:iCs/>
      <w:color w:val="0F4761" w:themeColor="accent1" w:themeShade="BF"/>
    </w:rPr>
  </w:style>
  <w:style w:type="paragraph" w:styleId="IntenseQuote">
    <w:name w:val="Intense Quote"/>
    <w:basedOn w:val="Normal"/>
    <w:next w:val="Normal"/>
    <w:link w:val="IntenseQuoteChar"/>
    <w:uiPriority w:val="30"/>
    <w:qFormat/>
    <w:rsid w:val="00BF2A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F2A3A"/>
    <w:rPr>
      <w:i/>
      <w:iCs/>
      <w:color w:val="0F4761" w:themeColor="accent1" w:themeShade="BF"/>
      <w:lang w:val="en-GB"/>
    </w:rPr>
  </w:style>
  <w:style w:type="character" w:styleId="IntenseReference">
    <w:name w:val="Intense Reference"/>
    <w:basedOn w:val="DefaultParagraphFont"/>
    <w:uiPriority w:val="32"/>
    <w:qFormat/>
    <w:rsid w:val="00BF2A3A"/>
    <w:rPr>
      <w:b/>
      <w:bCs/>
      <w:smallCaps/>
      <w:color w:val="0F4761" w:themeColor="accent1" w:themeShade="BF"/>
      <w:spacing w:val="5"/>
    </w:rPr>
  </w:style>
  <w:style w:type="paragraph" w:styleId="CommentText">
    <w:name w:val="annotation text"/>
    <w:basedOn w:val="Normal"/>
    <w:link w:val="CommentTextChar"/>
    <w:uiPriority w:val="99"/>
    <w:unhideWhenUsed/>
    <w:rsid w:val="00BF2A3A"/>
    <w:rPr>
      <w:rFonts w:eastAsiaTheme="minorHAnsi"/>
      <w:sz w:val="20"/>
      <w:szCs w:val="20"/>
      <w:lang w:eastAsia="en-US"/>
    </w:rPr>
  </w:style>
  <w:style w:type="character" w:customStyle="1" w:styleId="CommentTextChar">
    <w:name w:val="Comment Text Char"/>
    <w:basedOn w:val="DefaultParagraphFont"/>
    <w:link w:val="CommentText"/>
    <w:uiPriority w:val="99"/>
    <w:rsid w:val="00BF2A3A"/>
    <w:rPr>
      <w:rFonts w:eastAsiaTheme="minorHAnsi"/>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5DF449-CAC9-444E-AF3A-0026CF6C4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65EA1-83A9-44D6-90FC-F926EC2E8DE6}">
  <ds:schemaRefs>
    <ds:schemaRef ds:uri="http://schemas.microsoft.com/sharepoint/v3/contenttype/forms"/>
  </ds:schemaRefs>
</ds:datastoreItem>
</file>

<file path=customXml/itemProps3.xml><?xml version="1.0" encoding="utf-8"?>
<ds:datastoreItem xmlns:ds="http://schemas.openxmlformats.org/officeDocument/2006/customXml" ds:itemID="{65EE3CC2-FD74-4876-841D-51A317E3B97E}">
  <ds:schemaRefs>
    <ds:schemaRef ds:uri="http://schemas.openxmlformats.org/package/2006/metadata/core-properties"/>
    <ds:schemaRef ds:uri="cab52c9b-ab33-4221-8af9-54f8f2b86a80"/>
    <ds:schemaRef ds:uri="9c8a2b7b-0bee-4c48-b0a6-23db8982d3bc"/>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6911e96c-4cc4-42d5-8e43-f93924cf6a0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Beenu Bastian (Illawarra Shoalhaven LHD)</dc:creator>
  <cp:keywords/>
  <dc:description/>
  <cp:lastModifiedBy>Emily Luhrs</cp:lastModifiedBy>
  <cp:revision>2</cp:revision>
  <dcterms:created xsi:type="dcterms:W3CDTF">2025-05-22T03:36:00Z</dcterms:created>
  <dcterms:modified xsi:type="dcterms:W3CDTF">2025-05-22T03:36:00Z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