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08"/>
      </w:tblGrid>
      <w:tr w:rsidR="001564A4" w:rsidRPr="0050053A" w14:paraId="5C38377B" w14:textId="77777777" w:rsidTr="00DA19BE">
        <w:trPr>
          <w:trHeight w:val="704"/>
          <w:jc w:val="center"/>
        </w:trPr>
        <w:tc>
          <w:tcPr>
            <w:tcW w:w="9508" w:type="dxa"/>
            <w:shd w:val="clear" w:color="auto" w:fill="auto"/>
          </w:tcPr>
          <w:p w14:paraId="5C44F357" w14:textId="272DE251" w:rsidR="001564A4" w:rsidRPr="0050053A" w:rsidRDefault="00E32DEB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High mortality despite adequate treatment: </w:t>
            </w:r>
            <w:r w:rsidR="00E471D5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Pulmonary embolism in a regional Queensland Hospital</w:t>
            </w:r>
          </w:p>
        </w:tc>
      </w:tr>
      <w:tr w:rsidR="001564A4" w:rsidRPr="0050053A" w14:paraId="0E2E035C" w14:textId="77777777" w:rsidTr="00DA19BE">
        <w:trPr>
          <w:trHeight w:val="682"/>
          <w:jc w:val="center"/>
        </w:trPr>
        <w:tc>
          <w:tcPr>
            <w:tcW w:w="9508" w:type="dxa"/>
            <w:shd w:val="clear" w:color="auto" w:fill="auto"/>
          </w:tcPr>
          <w:p w14:paraId="73B55295" w14:textId="560DF925" w:rsidR="001564A4" w:rsidRPr="00413B94" w:rsidRDefault="0041155A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Saponara, Anthony</w:t>
            </w:r>
            <w:r w:rsidR="001564A4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="00C0737A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,2</w:t>
            </w:r>
            <w:bookmarkEnd w:id="0"/>
            <w:r w:rsidR="00C43A21">
              <w:rPr>
                <w:rFonts w:ascii="Arial" w:hAnsi="Arial" w:cs="Arial"/>
                <w:sz w:val="22"/>
                <w:szCs w:val="22"/>
                <w:lang w:val="en-US" w:eastAsia="en-GB"/>
              </w:rPr>
              <w:t>;</w:t>
            </w:r>
            <w:r w:rsidR="00E5649B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Fleming, Monique</w:t>
            </w:r>
          </w:p>
        </w:tc>
      </w:tr>
      <w:tr w:rsidR="001564A4" w:rsidRPr="0050053A" w14:paraId="385A19D9" w14:textId="77777777" w:rsidTr="00DA19BE">
        <w:trPr>
          <w:trHeight w:val="192"/>
          <w:jc w:val="center"/>
        </w:trPr>
        <w:tc>
          <w:tcPr>
            <w:tcW w:w="9508" w:type="dxa"/>
            <w:shd w:val="clear" w:color="auto" w:fill="auto"/>
          </w:tcPr>
          <w:p w14:paraId="1643A330" w14:textId="41E1780B" w:rsidR="0041155A" w:rsidRPr="0050053A" w:rsidRDefault="001564A4" w:rsidP="0041155A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41155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University of Queensland, </w:t>
            </w:r>
            <w:r w:rsidR="00C0737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41155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Queensland Health</w:t>
            </w:r>
          </w:p>
          <w:p w14:paraId="45ED36BF" w14:textId="29DE1E3F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</w:p>
        </w:tc>
      </w:tr>
      <w:tr w:rsidR="001564A4" w:rsidRPr="0050053A" w14:paraId="6DAF615A" w14:textId="77777777" w:rsidTr="00DA19BE">
        <w:trPr>
          <w:trHeight w:hRule="exact" w:val="10468"/>
          <w:jc w:val="center"/>
        </w:trPr>
        <w:tc>
          <w:tcPr>
            <w:tcW w:w="9508" w:type="dxa"/>
            <w:shd w:val="clear" w:color="auto" w:fill="auto"/>
          </w:tcPr>
          <w:p w14:paraId="739E7937" w14:textId="77777777" w:rsidR="001564A4" w:rsidRPr="0050053A" w:rsidRDefault="001564A4" w:rsidP="000A28E2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</w:p>
          <w:p w14:paraId="3D770CF7" w14:textId="42EE4A14" w:rsidR="001564A4" w:rsidRPr="00E471D5" w:rsidRDefault="00E471D5" w:rsidP="000A28E2">
            <w:pPr>
              <w:pStyle w:val="Pa12"/>
              <w:rPr>
                <w:rStyle w:val="A4"/>
                <w:color w:val="auto"/>
              </w:rPr>
            </w:pPr>
            <w:r>
              <w:rPr>
                <w:sz w:val="22"/>
                <w:szCs w:val="22"/>
              </w:rPr>
              <w:t>1 year m</w:t>
            </w:r>
            <w:r w:rsidR="00D8626D">
              <w:rPr>
                <w:sz w:val="22"/>
                <w:szCs w:val="22"/>
              </w:rPr>
              <w:t xml:space="preserve">ortality rates after PE have been reported </w:t>
            </w:r>
            <w:r w:rsidR="00F1699B">
              <w:rPr>
                <w:sz w:val="22"/>
                <w:szCs w:val="22"/>
              </w:rPr>
              <w:t>as 17 -</w:t>
            </w:r>
            <w:r w:rsidR="00D8626D">
              <w:rPr>
                <w:sz w:val="22"/>
                <w:szCs w:val="22"/>
              </w:rPr>
              <w:t xml:space="preserve"> 25%</w:t>
            </w:r>
            <w:r w:rsidR="00E32DEB">
              <w:rPr>
                <w:sz w:val="22"/>
                <w:szCs w:val="22"/>
              </w:rPr>
              <w:t>.</w:t>
            </w:r>
            <w:r w:rsidR="009E687C">
              <w:rPr>
                <w:sz w:val="22"/>
                <w:szCs w:val="22"/>
              </w:rPr>
              <w:t xml:space="preserve"> </w:t>
            </w:r>
            <w:r w:rsidR="00421141">
              <w:rPr>
                <w:sz w:val="22"/>
                <w:szCs w:val="22"/>
              </w:rPr>
              <w:t xml:space="preserve">There is a paucity of data in the regional centres surrounding diagnosis and management of PE currently. </w:t>
            </w:r>
            <w:r w:rsidR="00D8626D">
              <w:rPr>
                <w:sz w:val="22"/>
                <w:szCs w:val="22"/>
              </w:rPr>
              <w:t xml:space="preserve">We </w:t>
            </w:r>
            <w:r w:rsidR="00826738">
              <w:rPr>
                <w:sz w:val="22"/>
                <w:szCs w:val="22"/>
              </w:rPr>
              <w:t>investigated</w:t>
            </w:r>
            <w:r w:rsidR="00D8626D">
              <w:rPr>
                <w:sz w:val="22"/>
                <w:szCs w:val="22"/>
              </w:rPr>
              <w:t xml:space="preserve"> the high mortality rate after PE at Caboolture Hospital to establish the status and severity at diagnosis and whether treatment was in keeping with standards of care. Furthermore</w:t>
            </w:r>
            <w:r w:rsidR="00E32DEB">
              <w:rPr>
                <w:sz w:val="22"/>
                <w:szCs w:val="22"/>
              </w:rPr>
              <w:t>,</w:t>
            </w:r>
            <w:r w:rsidR="00D8626D">
              <w:rPr>
                <w:sz w:val="22"/>
                <w:szCs w:val="22"/>
              </w:rPr>
              <w:t xml:space="preserve"> w</w:t>
            </w:r>
            <w:r w:rsidR="00952787">
              <w:rPr>
                <w:sz w:val="22"/>
                <w:szCs w:val="22"/>
              </w:rPr>
              <w:t xml:space="preserve">e </w:t>
            </w:r>
            <w:r w:rsidR="00D8626D">
              <w:rPr>
                <w:sz w:val="22"/>
                <w:szCs w:val="22"/>
              </w:rPr>
              <w:t>analyse</w:t>
            </w:r>
            <w:r w:rsidR="00952787">
              <w:rPr>
                <w:sz w:val="22"/>
                <w:szCs w:val="22"/>
              </w:rPr>
              <w:t>d</w:t>
            </w:r>
            <w:r w:rsidR="00D8626D">
              <w:rPr>
                <w:sz w:val="22"/>
                <w:szCs w:val="22"/>
              </w:rPr>
              <w:t xml:space="preserve"> the </w:t>
            </w:r>
            <w:r w:rsidR="00E32DEB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ischarge summaries to see if they captured the gravity of such a portent. </w:t>
            </w:r>
          </w:p>
          <w:p w14:paraId="1B39336E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</w:p>
          <w:p w14:paraId="5029BAE6" w14:textId="3C73D2D9" w:rsidR="001564A4" w:rsidRPr="00E471D5" w:rsidRDefault="0041155A" w:rsidP="000A28E2">
            <w:pPr>
              <w:pStyle w:val="Pa12"/>
              <w:rPr>
                <w:rStyle w:val="A4"/>
                <w:color w:val="auto"/>
              </w:rPr>
            </w:pPr>
            <w:r>
              <w:rPr>
                <w:sz w:val="22"/>
                <w:szCs w:val="22"/>
              </w:rPr>
              <w:t xml:space="preserve">Data </w:t>
            </w:r>
            <w:r w:rsidR="00DF4C5D">
              <w:rPr>
                <w:sz w:val="22"/>
                <w:szCs w:val="22"/>
              </w:rPr>
              <w:t xml:space="preserve">was collected using The Viewer application. Case identification was through Health Information Services </w:t>
            </w:r>
            <w:r w:rsidR="00AF323F">
              <w:rPr>
                <w:sz w:val="22"/>
                <w:szCs w:val="22"/>
              </w:rPr>
              <w:t xml:space="preserve">using ICD codes in primary or secondary diagnosis </w:t>
            </w:r>
            <w:r w:rsidR="00264CD1">
              <w:rPr>
                <w:sz w:val="22"/>
                <w:szCs w:val="22"/>
              </w:rPr>
              <w:t>over 2022</w:t>
            </w:r>
            <w:r w:rsidR="00DF4C5D">
              <w:rPr>
                <w:sz w:val="22"/>
                <w:szCs w:val="22"/>
              </w:rPr>
              <w:t xml:space="preserve">. </w:t>
            </w:r>
            <w:r w:rsidR="00264CD1">
              <w:rPr>
                <w:sz w:val="22"/>
                <w:szCs w:val="22"/>
              </w:rPr>
              <w:t>Qualitative data was collected in the form of discharge summary diagnosis and were direct quotations.</w:t>
            </w:r>
          </w:p>
          <w:p w14:paraId="06797D2A" w14:textId="5E032EB2" w:rsidR="00453904" w:rsidRPr="00E471D5" w:rsidRDefault="001564A4" w:rsidP="00E471D5">
            <w:pPr>
              <w:pStyle w:val="Pa12"/>
              <w:rPr>
                <w:sz w:val="22"/>
                <w:szCs w:val="22"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  <w:r>
              <w:rPr>
                <w:sz w:val="22"/>
                <w:szCs w:val="22"/>
              </w:rPr>
              <w:br/>
            </w:r>
            <w:r w:rsidR="00264CD1">
              <w:rPr>
                <w:color w:val="000000"/>
                <w:sz w:val="22"/>
                <w:szCs w:val="22"/>
              </w:rPr>
              <w:t xml:space="preserve">185 patients were identified </w:t>
            </w:r>
            <w:r w:rsidR="00C0737A">
              <w:rPr>
                <w:color w:val="000000"/>
                <w:sz w:val="22"/>
                <w:szCs w:val="22"/>
              </w:rPr>
              <w:t xml:space="preserve">with PE with an average length of stay of 5.7 (+/-1.0) days. Average age was 70 years old. Average time to investigation from admission was 1.58 (+/-1.6) days with 68% </w:t>
            </w:r>
            <w:r w:rsidR="00A46131">
              <w:rPr>
                <w:color w:val="000000"/>
                <w:sz w:val="22"/>
                <w:szCs w:val="22"/>
              </w:rPr>
              <w:t>on Day0</w:t>
            </w:r>
            <w:r w:rsidR="006F3CB9">
              <w:rPr>
                <w:color w:val="000000"/>
                <w:sz w:val="22"/>
                <w:szCs w:val="22"/>
              </w:rPr>
              <w:t>. All cause mortality within one year of admission was 24% and was highly associated with having a diagnosis of active malignancy</w:t>
            </w:r>
            <w:r w:rsidR="00D87A8D">
              <w:rPr>
                <w:color w:val="000000"/>
                <w:sz w:val="22"/>
                <w:szCs w:val="22"/>
              </w:rPr>
              <w:t xml:space="preserve"> OR 18 (95%CI 41.2, 7.84)</w:t>
            </w:r>
            <w:r w:rsidR="00CC0972">
              <w:rPr>
                <w:color w:val="000000"/>
                <w:sz w:val="22"/>
                <w:szCs w:val="22"/>
              </w:rPr>
              <w:t>. Systemic thrombolysis occurred in 4 cases. Initial management consisted mainly of Enoxaparin</w:t>
            </w:r>
            <w:r w:rsidR="00B51E27">
              <w:rPr>
                <w:color w:val="000000"/>
                <w:sz w:val="22"/>
                <w:szCs w:val="22"/>
              </w:rPr>
              <w:t xml:space="preserve"> 35%</w:t>
            </w:r>
            <w:r w:rsidR="001202E6">
              <w:rPr>
                <w:color w:val="000000"/>
                <w:sz w:val="22"/>
                <w:szCs w:val="22"/>
              </w:rPr>
              <w:t xml:space="preserve">. </w:t>
            </w:r>
            <w:r w:rsidR="00FD5189">
              <w:rPr>
                <w:color w:val="000000"/>
                <w:sz w:val="22"/>
                <w:szCs w:val="22"/>
              </w:rPr>
              <w:t xml:space="preserve">Odds </w:t>
            </w:r>
            <w:r w:rsidR="00D87A8D">
              <w:rPr>
                <w:color w:val="000000"/>
                <w:sz w:val="22"/>
                <w:szCs w:val="22"/>
              </w:rPr>
              <w:t xml:space="preserve">ratio </w:t>
            </w:r>
            <w:r w:rsidR="00FD5189">
              <w:rPr>
                <w:color w:val="000000"/>
                <w:sz w:val="22"/>
                <w:szCs w:val="22"/>
              </w:rPr>
              <w:t xml:space="preserve">of heparin use in Low severity PE was </w:t>
            </w:r>
            <w:r w:rsidR="00B51E27">
              <w:rPr>
                <w:color w:val="000000"/>
                <w:sz w:val="22"/>
                <w:szCs w:val="22"/>
              </w:rPr>
              <w:t xml:space="preserve"> </w:t>
            </w:r>
            <w:r w:rsidR="00D87A8D">
              <w:rPr>
                <w:color w:val="000000"/>
                <w:sz w:val="22"/>
                <w:szCs w:val="22"/>
              </w:rPr>
              <w:t>0.19 (95%CI 0.48, 0.07). 26%</w:t>
            </w:r>
            <w:r w:rsidR="00FD5189">
              <w:rPr>
                <w:color w:val="000000"/>
                <w:sz w:val="22"/>
                <w:szCs w:val="22"/>
              </w:rPr>
              <w:t xml:space="preserve"> had no </w:t>
            </w:r>
            <w:r w:rsidR="00D87A8D">
              <w:rPr>
                <w:color w:val="000000"/>
                <w:sz w:val="22"/>
                <w:szCs w:val="22"/>
              </w:rPr>
              <w:t xml:space="preserve">hospital </w:t>
            </w:r>
            <w:r w:rsidR="00FD5189">
              <w:rPr>
                <w:color w:val="000000"/>
                <w:sz w:val="22"/>
                <w:szCs w:val="22"/>
              </w:rPr>
              <w:t>follow up booked</w:t>
            </w:r>
            <w:r w:rsidR="008669DC">
              <w:rPr>
                <w:color w:val="000000"/>
                <w:sz w:val="22"/>
                <w:szCs w:val="22"/>
              </w:rPr>
              <w:t xml:space="preserve">. </w:t>
            </w:r>
            <w:r w:rsidR="009E687C">
              <w:rPr>
                <w:sz w:val="22"/>
                <w:szCs w:val="22"/>
              </w:rPr>
              <w:t>Communication surrounding PE and severity was poor</w:t>
            </w:r>
            <w:r w:rsidR="00FC16D0">
              <w:rPr>
                <w:sz w:val="22"/>
                <w:szCs w:val="22"/>
              </w:rPr>
              <w:t>. Only</w:t>
            </w:r>
            <w:r w:rsidR="009E687C">
              <w:rPr>
                <w:sz w:val="22"/>
                <w:szCs w:val="22"/>
              </w:rPr>
              <w:t xml:space="preserve"> 2 discharge summaries us</w:t>
            </w:r>
            <w:r w:rsidR="00FC16D0">
              <w:rPr>
                <w:sz w:val="22"/>
                <w:szCs w:val="22"/>
              </w:rPr>
              <w:t>ed</w:t>
            </w:r>
            <w:r w:rsidR="009E687C">
              <w:rPr>
                <w:sz w:val="22"/>
                <w:szCs w:val="22"/>
              </w:rPr>
              <w:t xml:space="preserve"> terms of severity</w:t>
            </w:r>
            <w:r w:rsidR="00E32DEB">
              <w:rPr>
                <w:sz w:val="22"/>
                <w:szCs w:val="22"/>
              </w:rPr>
              <w:t xml:space="preserve">: </w:t>
            </w:r>
            <w:r w:rsidR="009E687C">
              <w:rPr>
                <w:sz w:val="22"/>
                <w:szCs w:val="22"/>
              </w:rPr>
              <w:t>“intermediate risk” and “</w:t>
            </w:r>
            <w:proofErr w:type="spellStart"/>
            <w:r w:rsidR="009E687C">
              <w:rPr>
                <w:sz w:val="22"/>
                <w:szCs w:val="22"/>
              </w:rPr>
              <w:t>submassive</w:t>
            </w:r>
            <w:proofErr w:type="spellEnd"/>
            <w:r w:rsidR="009E687C">
              <w:rPr>
                <w:sz w:val="22"/>
                <w:szCs w:val="22"/>
              </w:rPr>
              <w:t>”</w:t>
            </w:r>
            <w:r w:rsidR="00FC16D0">
              <w:rPr>
                <w:sz w:val="22"/>
                <w:szCs w:val="22"/>
              </w:rPr>
              <w:t xml:space="preserve">. </w:t>
            </w:r>
            <w:r w:rsidR="009E687C">
              <w:rPr>
                <w:sz w:val="22"/>
                <w:szCs w:val="22"/>
              </w:rPr>
              <w:t>Few summaries focused on provoking</w:t>
            </w:r>
            <w:r w:rsidR="00E32DEB">
              <w:rPr>
                <w:sz w:val="22"/>
                <w:szCs w:val="22"/>
              </w:rPr>
              <w:t>/</w:t>
            </w:r>
            <w:r w:rsidR="009E687C">
              <w:rPr>
                <w:sz w:val="22"/>
                <w:szCs w:val="22"/>
              </w:rPr>
              <w:t>perpetuating factors</w:t>
            </w:r>
          </w:p>
          <w:p w14:paraId="652F7BE1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</w:p>
          <w:p w14:paraId="7A573433" w14:textId="65715A21" w:rsidR="00D87A8D" w:rsidRDefault="008669DC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There was a</w:t>
            </w:r>
            <w:r w:rsidR="00D87A8D">
              <w:rPr>
                <w:sz w:val="22"/>
                <w:szCs w:val="22"/>
              </w:rPr>
              <w:t xml:space="preserve"> high association with malignancy </w:t>
            </w:r>
            <w:r w:rsidR="00935CBF">
              <w:rPr>
                <w:sz w:val="22"/>
                <w:szCs w:val="22"/>
              </w:rPr>
              <w:t xml:space="preserve">with no discrimination to severity. </w:t>
            </w:r>
            <w:r w:rsidR="00453904">
              <w:rPr>
                <w:sz w:val="22"/>
                <w:szCs w:val="22"/>
              </w:rPr>
              <w:t xml:space="preserve">Initial management seemed to favour the use of unfractionated heparin in those who were not low risk. </w:t>
            </w:r>
            <w:r w:rsidR="009E687C">
              <w:rPr>
                <w:sz w:val="22"/>
                <w:szCs w:val="22"/>
              </w:rPr>
              <w:t xml:space="preserve">The majority of </w:t>
            </w:r>
            <w:r w:rsidR="00FB3A8B">
              <w:rPr>
                <w:sz w:val="22"/>
                <w:szCs w:val="22"/>
              </w:rPr>
              <w:t>admissions</w:t>
            </w:r>
            <w:r w:rsidR="009E687C">
              <w:rPr>
                <w:sz w:val="22"/>
                <w:szCs w:val="22"/>
              </w:rPr>
              <w:t xml:space="preserve"> were low risk PEs</w:t>
            </w:r>
            <w:r w:rsidR="00FB3A8B">
              <w:rPr>
                <w:sz w:val="22"/>
                <w:szCs w:val="22"/>
              </w:rPr>
              <w:t xml:space="preserve"> </w:t>
            </w:r>
            <w:r w:rsidR="00092EA1">
              <w:rPr>
                <w:sz w:val="22"/>
                <w:szCs w:val="22"/>
              </w:rPr>
              <w:t xml:space="preserve">with an overall </w:t>
            </w:r>
            <w:r w:rsidR="009E687C">
              <w:rPr>
                <w:sz w:val="22"/>
                <w:szCs w:val="22"/>
              </w:rPr>
              <w:t xml:space="preserve">below average length of stay. </w:t>
            </w:r>
            <w:r w:rsidR="00E471D5">
              <w:rPr>
                <w:sz w:val="22"/>
                <w:szCs w:val="22"/>
              </w:rPr>
              <w:t>Poor communication to other providers may impact on overall patient care.</w:t>
            </w:r>
            <w:r>
              <w:rPr>
                <w:sz w:val="22"/>
                <w:szCs w:val="22"/>
              </w:rPr>
              <w:t xml:space="preserve"> </w:t>
            </w:r>
          </w:p>
          <w:p w14:paraId="3E8B4283" w14:textId="548B2D57" w:rsidR="001564A4" w:rsidRPr="00FD5189" w:rsidRDefault="001564A4" w:rsidP="000A28E2">
            <w:pPr>
              <w:pStyle w:val="Pa12"/>
              <w:rPr>
                <w:rStyle w:val="A4"/>
                <w:color w:val="auto"/>
              </w:rPr>
            </w:pPr>
            <w:r>
              <w:rPr>
                <w:sz w:val="22"/>
                <w:szCs w:val="22"/>
              </w:rPr>
              <w:br/>
            </w:r>
            <w:r w:rsidRPr="0050053A">
              <w:rPr>
                <w:rStyle w:val="A4"/>
                <w:b/>
                <w:bCs/>
              </w:rPr>
              <w:t xml:space="preserve">Grant Support: </w:t>
            </w:r>
          </w:p>
          <w:p w14:paraId="7F8381F0" w14:textId="4D180CAB" w:rsidR="001564A4" w:rsidRDefault="00373FD9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None</w:t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01AAE628" w:rsidR="00E0700F" w:rsidRDefault="00E0700F" w:rsidP="001564A4"/>
    <w:sectPr w:rsidR="00E0700F" w:rsidSect="00E471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92EA1"/>
    <w:rsid w:val="001202E6"/>
    <w:rsid w:val="001315D6"/>
    <w:rsid w:val="001564A4"/>
    <w:rsid w:val="001A2B54"/>
    <w:rsid w:val="001C3AAE"/>
    <w:rsid w:val="00264CD1"/>
    <w:rsid w:val="00373FD9"/>
    <w:rsid w:val="003B788C"/>
    <w:rsid w:val="0041155A"/>
    <w:rsid w:val="00421141"/>
    <w:rsid w:val="00437CD6"/>
    <w:rsid w:val="00453904"/>
    <w:rsid w:val="0051574E"/>
    <w:rsid w:val="006F3CB9"/>
    <w:rsid w:val="00815815"/>
    <w:rsid w:val="00826738"/>
    <w:rsid w:val="008669DC"/>
    <w:rsid w:val="008803FA"/>
    <w:rsid w:val="00935CBF"/>
    <w:rsid w:val="00952787"/>
    <w:rsid w:val="009E687C"/>
    <w:rsid w:val="00A46131"/>
    <w:rsid w:val="00AF323F"/>
    <w:rsid w:val="00B12E32"/>
    <w:rsid w:val="00B51E27"/>
    <w:rsid w:val="00BE429D"/>
    <w:rsid w:val="00C0737A"/>
    <w:rsid w:val="00C217D8"/>
    <w:rsid w:val="00C43A21"/>
    <w:rsid w:val="00CC0972"/>
    <w:rsid w:val="00D8626D"/>
    <w:rsid w:val="00D87A8D"/>
    <w:rsid w:val="00DA19BE"/>
    <w:rsid w:val="00DF4C5D"/>
    <w:rsid w:val="00E0700F"/>
    <w:rsid w:val="00E32DEB"/>
    <w:rsid w:val="00E471D5"/>
    <w:rsid w:val="00E5649B"/>
    <w:rsid w:val="00F1699B"/>
    <w:rsid w:val="00F24778"/>
    <w:rsid w:val="00FB3A8B"/>
    <w:rsid w:val="00FC16D0"/>
    <w:rsid w:val="00FD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table" w:styleId="TableGrid">
    <w:name w:val="Table Grid"/>
    <w:basedOn w:val="TableNormal"/>
    <w:uiPriority w:val="39"/>
    <w:rsid w:val="00CC0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6" ma:contentTypeDescription="Create a new document." ma:contentTypeScope="" ma:versionID="e2b445427de7fdc952c105e35286659b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37c8f8b798b54af2a8e7107b543b3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4E03BB-3B94-43A7-A10E-EF4C0ABC6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A323D8-5B24-4C4E-B544-C1AA99C4B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Saponara</dc:creator>
  <cp:keywords/>
  <dc:description/>
  <cp:lastModifiedBy>Anthony Saponara</cp:lastModifiedBy>
  <cp:revision>3</cp:revision>
  <dcterms:created xsi:type="dcterms:W3CDTF">2023-10-18T21:58:00Z</dcterms:created>
  <dcterms:modified xsi:type="dcterms:W3CDTF">2023-10-18T22:01:00Z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