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36E62" w14:textId="77777777" w:rsidR="00C04F98" w:rsidRDefault="00C04F98">
      <w:pPr>
        <w:rPr>
          <w:rFonts w:ascii="Arial" w:eastAsia="Arial" w:hAnsi="Arial" w:cs="Arial"/>
        </w:rPr>
      </w:pPr>
    </w:p>
    <w:p w14:paraId="119C0916" w14:textId="77777777" w:rsidR="00C04F98" w:rsidRDefault="00C04F98">
      <w:pPr>
        <w:rPr>
          <w:rFonts w:ascii="Arial" w:eastAsia="Arial" w:hAnsi="Arial" w:cs="Arial"/>
        </w:rPr>
      </w:pPr>
    </w:p>
    <w:p w14:paraId="0C218A95" w14:textId="77777777" w:rsidR="00C04F98" w:rsidRPr="00C04F98" w:rsidRDefault="00C04F98" w:rsidP="00C04F98">
      <w:pPr>
        <w:rPr>
          <w:rFonts w:ascii="Arial" w:eastAsia="Arial" w:hAnsi="Arial" w:cs="Arial"/>
          <w:sz w:val="22"/>
          <w:szCs w:val="22"/>
        </w:rPr>
      </w:pPr>
    </w:p>
    <w:p w14:paraId="3BDBEAF7" w14:textId="2A153F13" w:rsidR="00AB56AF" w:rsidRPr="00C04F98" w:rsidRDefault="00C04F98" w:rsidP="00C04F98">
      <w:pPr>
        <w:rPr>
          <w:rFonts w:ascii="Arial" w:eastAsia="Arial" w:hAnsi="Arial" w:cs="Arial"/>
          <w:b/>
          <w:bCs/>
          <w:sz w:val="22"/>
          <w:szCs w:val="22"/>
        </w:rPr>
      </w:pPr>
      <w:r w:rsidRPr="00C04F98">
        <w:rPr>
          <w:rFonts w:ascii="Arial" w:eastAsia="Arial" w:hAnsi="Arial" w:cs="Arial"/>
          <w:b/>
          <w:bCs/>
          <w:sz w:val="22"/>
          <w:szCs w:val="22"/>
        </w:rPr>
        <w:t>Improving education and access to diabetes therapies and technology in rural NSW: two‑year outcomes from a multidisciplinary DREAM outreach service</w:t>
      </w:r>
    </w:p>
    <w:p w14:paraId="3DE6590E" w14:textId="77777777" w:rsidR="00C04F98" w:rsidRPr="00C04F98" w:rsidRDefault="00C04F98" w:rsidP="00C04F98">
      <w:pPr>
        <w:rPr>
          <w:rFonts w:ascii="Arial" w:eastAsia="Arial" w:hAnsi="Arial" w:cs="Arial"/>
          <w:sz w:val="22"/>
          <w:szCs w:val="22"/>
        </w:rPr>
      </w:pPr>
    </w:p>
    <w:p w14:paraId="370CECED" w14:textId="3EB4DDB6" w:rsidR="00C04F98" w:rsidRPr="00C04F98" w:rsidRDefault="00C04F98" w:rsidP="00C04F98">
      <w:pPr>
        <w:rPr>
          <w:rFonts w:ascii="Arial" w:eastAsia="Arial" w:hAnsi="Arial" w:cs="Arial"/>
          <w:sz w:val="22"/>
          <w:szCs w:val="22"/>
        </w:rPr>
      </w:pPr>
      <w:r w:rsidRPr="00C04F98">
        <w:rPr>
          <w:rFonts w:ascii="Arial" w:eastAsia="Arial" w:hAnsi="Arial" w:cs="Arial"/>
          <w:b/>
          <w:bCs/>
          <w:sz w:val="22"/>
          <w:szCs w:val="22"/>
        </w:rPr>
        <w:t>Background &amp; Aim:</w:t>
      </w:r>
      <w:r w:rsidRPr="00C04F98">
        <w:rPr>
          <w:rFonts w:ascii="Arial" w:eastAsia="Arial" w:hAnsi="Arial" w:cs="Arial"/>
          <w:sz w:val="22"/>
          <w:szCs w:val="22"/>
        </w:rPr>
        <w:t xml:space="preserve">  </w:t>
      </w:r>
      <w:r w:rsidRPr="00C04F98">
        <w:rPr>
          <w:rFonts w:ascii="Arial" w:eastAsia="Arial" w:hAnsi="Arial" w:cs="Arial"/>
          <w:sz w:val="22"/>
          <w:szCs w:val="22"/>
        </w:rPr>
        <w:t>Background: Rural Australians experience limited access to specialist diabetes therapies and technology despite national schemes to improve equity. The Diabetes Regional Education, Access and Management (DREAM) outreach service was established in 2024 to bring specialist care, education and device support into Murrumbidgee general practices. Aim: To evaluate two‑year changes in access to specialist diabetes therapy and technology among patients attending a rural multidisciplinary outreach service</w:t>
      </w:r>
    </w:p>
    <w:p w14:paraId="2873F946" w14:textId="77777777" w:rsidR="00C04F98" w:rsidRPr="00C04F98" w:rsidRDefault="00C04F98" w:rsidP="00C04F98">
      <w:pPr>
        <w:rPr>
          <w:rFonts w:ascii="Arial" w:eastAsia="Arial" w:hAnsi="Arial" w:cs="Arial"/>
          <w:sz w:val="22"/>
          <w:szCs w:val="22"/>
        </w:rPr>
      </w:pPr>
    </w:p>
    <w:p w14:paraId="0D35003B" w14:textId="777DBF52" w:rsidR="00C04F98" w:rsidRPr="00C04F98" w:rsidRDefault="00C04F98" w:rsidP="00C04F98">
      <w:pPr>
        <w:rPr>
          <w:rFonts w:ascii="Arial" w:eastAsia="Arial" w:hAnsi="Arial" w:cs="Arial"/>
          <w:sz w:val="22"/>
          <w:szCs w:val="22"/>
        </w:rPr>
      </w:pPr>
      <w:r w:rsidRPr="00C04F98">
        <w:rPr>
          <w:rFonts w:ascii="Arial" w:eastAsia="Arial" w:hAnsi="Arial" w:cs="Arial"/>
          <w:b/>
          <w:bCs/>
          <w:sz w:val="22"/>
          <w:szCs w:val="22"/>
        </w:rPr>
        <w:t>Methods:</w:t>
      </w:r>
      <w:r w:rsidRPr="00C04F98">
        <w:rPr>
          <w:rFonts w:ascii="Arial" w:eastAsia="Arial" w:hAnsi="Arial" w:cs="Arial"/>
          <w:sz w:val="22"/>
          <w:szCs w:val="22"/>
        </w:rPr>
        <w:t xml:space="preserve">  </w:t>
      </w:r>
      <w:r w:rsidRPr="00C04F98">
        <w:rPr>
          <w:rFonts w:ascii="Arial" w:eastAsia="Arial" w:hAnsi="Arial" w:cs="Arial"/>
          <w:sz w:val="22"/>
          <w:szCs w:val="22"/>
        </w:rPr>
        <w:t>Initial outreach clinics were conducted at general practices in the Murrumbidgee. Participating practices were identified by utilising available data, health needs assessments, and local knowledge. An endocrinologist and credentialled diabetes nurse educator reviewed patients in conjunction with local general practitioners (GPs) and practice nurses. Follow-up telehealth clinics were conducted 6-months after the initial visit. De‑identified service data were analysed for all patients seen from February 2024 to December 2025. Outcomes included initiation of glucagon‑like peptide‑1 receptor agonists (GLP‑1 RAs), continuous glucose monitoring systems (CGMs) and insulin pump therapy. Education and upskilling activities for GPs and practice nurses were captured through case conferences and structured professional development training.</w:t>
      </w:r>
    </w:p>
    <w:p w14:paraId="5E85EC1E" w14:textId="77777777" w:rsidR="00C04F98" w:rsidRPr="00C04F98" w:rsidRDefault="00C04F98" w:rsidP="00C04F98">
      <w:pPr>
        <w:rPr>
          <w:rFonts w:ascii="Arial" w:eastAsia="Arial" w:hAnsi="Arial" w:cs="Arial"/>
          <w:sz w:val="22"/>
          <w:szCs w:val="22"/>
        </w:rPr>
      </w:pPr>
    </w:p>
    <w:p w14:paraId="30526C87" w14:textId="4CBD5D57" w:rsidR="00C04F98" w:rsidRPr="00C04F98" w:rsidRDefault="00C04F98" w:rsidP="00C04F98">
      <w:pPr>
        <w:rPr>
          <w:rFonts w:ascii="Arial" w:eastAsia="Arial" w:hAnsi="Arial" w:cs="Arial"/>
          <w:sz w:val="22"/>
          <w:szCs w:val="22"/>
        </w:rPr>
      </w:pPr>
      <w:r w:rsidRPr="00C04F98">
        <w:rPr>
          <w:rFonts w:ascii="Arial" w:eastAsia="Arial" w:hAnsi="Arial" w:cs="Arial"/>
          <w:b/>
          <w:bCs/>
          <w:sz w:val="22"/>
          <w:szCs w:val="22"/>
        </w:rPr>
        <w:t>Results:</w:t>
      </w:r>
      <w:r w:rsidRPr="00C04F98">
        <w:rPr>
          <w:rFonts w:ascii="Arial" w:eastAsia="Arial" w:hAnsi="Arial" w:cs="Arial"/>
          <w:sz w:val="22"/>
          <w:szCs w:val="22"/>
        </w:rPr>
        <w:t xml:space="preserve">  </w:t>
      </w:r>
      <w:r w:rsidRPr="00C04F98">
        <w:rPr>
          <w:rFonts w:ascii="Arial" w:eastAsia="Arial" w:hAnsi="Arial" w:cs="Arial"/>
          <w:sz w:val="22"/>
          <w:szCs w:val="22"/>
        </w:rPr>
        <w:t>Over two years, 313 patients with complex diabetes were reviewed. GLP‑1 receptor agonists were initiated in 80 patients (26%), and 93 (30%) commenced continuous glucose monitoring. Insulin therapy was initiated or intensified in 50 patients (16%), and 7 (2%) commenced or upgraded insulin pump therapy. Importantly, insulin was reduced or ceased in 44 patients (14%). Multidisciplinary care included case conferences with 56 GPs and 23 practice nurses, and education attended by 111 health professionals.</w:t>
      </w:r>
    </w:p>
    <w:p w14:paraId="3BBE4FE4" w14:textId="77777777" w:rsidR="00C04F98" w:rsidRPr="00C04F98" w:rsidRDefault="00C04F98" w:rsidP="00C04F98">
      <w:pPr>
        <w:rPr>
          <w:rFonts w:ascii="Arial" w:eastAsia="Arial" w:hAnsi="Arial" w:cs="Arial"/>
          <w:sz w:val="22"/>
          <w:szCs w:val="22"/>
        </w:rPr>
      </w:pPr>
    </w:p>
    <w:p w14:paraId="50528421" w14:textId="4CEAEA89" w:rsidR="00C04F98" w:rsidRPr="00C04F98" w:rsidRDefault="00C04F98" w:rsidP="00C04F98">
      <w:pPr>
        <w:rPr>
          <w:sz w:val="22"/>
          <w:szCs w:val="22"/>
        </w:rPr>
      </w:pPr>
      <w:r w:rsidRPr="00C04F98">
        <w:rPr>
          <w:rFonts w:ascii="Arial" w:eastAsia="Arial" w:hAnsi="Arial" w:cs="Arial"/>
          <w:b/>
          <w:bCs/>
          <w:sz w:val="22"/>
          <w:szCs w:val="22"/>
        </w:rPr>
        <w:t>Discussion/Conclusion:</w:t>
      </w:r>
      <w:r w:rsidRPr="00C04F98">
        <w:rPr>
          <w:rFonts w:ascii="Arial" w:eastAsia="Arial" w:hAnsi="Arial" w:cs="Arial"/>
          <w:sz w:val="22"/>
          <w:szCs w:val="22"/>
        </w:rPr>
        <w:t xml:space="preserve">  </w:t>
      </w:r>
      <w:r w:rsidRPr="00C04F98">
        <w:rPr>
          <w:rFonts w:ascii="Arial" w:eastAsia="Arial" w:hAnsi="Arial" w:cs="Arial"/>
          <w:sz w:val="22"/>
          <w:szCs w:val="22"/>
        </w:rPr>
        <w:t>There was substantial scale‑up of technology and contemporary pharmacotherapy access and education within a small rural region. A multidisciplinary outreach model embedded in general practice can meaningfully increase access to GLP‑1 therapy and diabetes technology over two years while concurrently building local workforce capability and capacity.</w:t>
      </w:r>
    </w:p>
    <w:sectPr w:rsidR="00C04F98" w:rsidRPr="00C04F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98"/>
    <w:rsid w:val="007C296B"/>
    <w:rsid w:val="00AB56AF"/>
    <w:rsid w:val="00BC41DF"/>
    <w:rsid w:val="00C04F98"/>
    <w:rsid w:val="00CE68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CE35"/>
  <w15:chartTrackingRefBased/>
  <w15:docId w15:val="{761F5E25-4914-4660-A692-5C6168EB8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F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F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F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F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04F9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04F9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4F9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4F9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4F9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F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F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F9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F9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04F9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04F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4F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4F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4F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04F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F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F9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F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04F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4F98"/>
    <w:rPr>
      <w:i/>
      <w:iCs/>
      <w:color w:val="404040" w:themeColor="text1" w:themeTint="BF"/>
    </w:rPr>
  </w:style>
  <w:style w:type="paragraph" w:styleId="ListParagraph">
    <w:name w:val="List Paragraph"/>
    <w:basedOn w:val="Normal"/>
    <w:uiPriority w:val="34"/>
    <w:qFormat/>
    <w:rsid w:val="00C04F98"/>
    <w:pPr>
      <w:ind w:left="720"/>
      <w:contextualSpacing/>
    </w:pPr>
  </w:style>
  <w:style w:type="character" w:styleId="IntenseEmphasis">
    <w:name w:val="Intense Emphasis"/>
    <w:basedOn w:val="DefaultParagraphFont"/>
    <w:uiPriority w:val="21"/>
    <w:qFormat/>
    <w:rsid w:val="00C04F98"/>
    <w:rPr>
      <w:i/>
      <w:iCs/>
      <w:color w:val="0F4761" w:themeColor="accent1" w:themeShade="BF"/>
    </w:rPr>
  </w:style>
  <w:style w:type="paragraph" w:styleId="IntenseQuote">
    <w:name w:val="Intense Quote"/>
    <w:basedOn w:val="Normal"/>
    <w:next w:val="Normal"/>
    <w:link w:val="IntenseQuoteChar"/>
    <w:uiPriority w:val="30"/>
    <w:qFormat/>
    <w:rsid w:val="00C04F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F98"/>
    <w:rPr>
      <w:i/>
      <w:iCs/>
      <w:color w:val="0F4761" w:themeColor="accent1" w:themeShade="BF"/>
    </w:rPr>
  </w:style>
  <w:style w:type="character" w:styleId="IntenseReference">
    <w:name w:val="Intense Reference"/>
    <w:basedOn w:val="DefaultParagraphFont"/>
    <w:uiPriority w:val="32"/>
    <w:qFormat/>
    <w:rsid w:val="00C04F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BAF387-6E48-478D-A49D-C65DAC65C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62060A-8F08-4900-9D4A-32194F49F02B}">
  <ds:schemaRefs>
    <ds:schemaRef ds:uri="http://schemas.microsoft.com/sharepoint/v3/contenttype/forms"/>
  </ds:schemaRefs>
</ds:datastoreItem>
</file>

<file path=customXml/itemProps3.xml><?xml version="1.0" encoding="utf-8"?>
<ds:datastoreItem xmlns:ds="http://schemas.openxmlformats.org/officeDocument/2006/customXml" ds:itemID="{44584F77-32AD-4B17-BFFD-C0BD6AD51FB6}">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Yandall</dc:creator>
  <cp:keywords/>
  <dc:description/>
  <cp:lastModifiedBy>Tanya Yandall</cp:lastModifiedBy>
  <cp:revision>1</cp:revision>
  <dcterms:created xsi:type="dcterms:W3CDTF">2026-03-17T02:23:00Z</dcterms:created>
  <dcterms:modified xsi:type="dcterms:W3CDTF">2026-03-17T02:26:00Z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