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2"/>
      </w:tblGrid>
      <w:tr w:rsidR="006D4713" w:rsidRPr="00662468" w14:paraId="6C68AC80" w14:textId="77777777" w:rsidTr="00662468">
        <w:trPr>
          <w:trHeight w:val="443"/>
          <w:jc w:val="center"/>
        </w:trPr>
        <w:tc>
          <w:tcPr>
            <w:tcW w:w="9292" w:type="dxa"/>
            <w:shd w:val="clear" w:color="auto" w:fill="auto"/>
          </w:tcPr>
          <w:p w14:paraId="6C68AC7F" w14:textId="57D76F93" w:rsidR="006D4713" w:rsidRPr="00662468" w:rsidRDefault="00762F22" w:rsidP="00762F22">
            <w:pPr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662468">
              <w:rPr>
                <w:rFonts w:ascii="Arial" w:hAnsi="Arial" w:cs="Arial"/>
                <w:b/>
                <w:bCs/>
                <w:sz w:val="22"/>
                <w:szCs w:val="22"/>
                <w:lang w:val="en-AU" w:eastAsia="en-AU"/>
              </w:rPr>
              <w:t>Small is better... when reversing peripheral airway dysfunction in asthma</w:t>
            </w:r>
          </w:p>
        </w:tc>
      </w:tr>
      <w:tr w:rsidR="006D4713" w:rsidRPr="00662468" w14:paraId="6C68AC82" w14:textId="77777777" w:rsidTr="00662468">
        <w:trPr>
          <w:trHeight w:val="706"/>
          <w:jc w:val="center"/>
        </w:trPr>
        <w:tc>
          <w:tcPr>
            <w:tcW w:w="9292" w:type="dxa"/>
            <w:shd w:val="clear" w:color="auto" w:fill="auto"/>
          </w:tcPr>
          <w:p w14:paraId="6C68AC81" w14:textId="0CD61694" w:rsidR="006D4713" w:rsidRPr="00662468" w:rsidRDefault="002F1405" w:rsidP="00762F22">
            <w:pPr>
              <w:spacing w:before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C.</w:t>
            </w:r>
            <w:r w:rsidR="00A44891">
              <w:rPr>
                <w:rFonts w:ascii="Arial" w:hAnsi="Arial" w:cs="Arial"/>
                <w:i/>
                <w:sz w:val="22"/>
                <w:szCs w:val="22"/>
                <w:lang w:val="en-US"/>
              </w:rPr>
              <w:t>F.</w:t>
            </w:r>
            <w:bookmarkStart w:id="0" w:name="_GoBack"/>
            <w:bookmarkEnd w:id="0"/>
            <w:r w:rsidR="00243B77"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O’Sullivan</w:t>
            </w: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1</w:t>
            </w:r>
            <w:bookmarkStart w:id="1" w:name="Text8"/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,2,3</w:t>
            </w: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,</w:t>
            </w:r>
            <w:bookmarkEnd w:id="1"/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K. Nilsen</w:t>
            </w: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1</w:t>
            </w: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, G.K. Prisk</w:t>
            </w:r>
            <w:r w:rsidR="002131F1"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4</w:t>
            </w: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, B.R. Thompson</w:t>
            </w: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1,</w:t>
            </w:r>
            <w:r w:rsidR="00243B77"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5</w:t>
            </w:r>
          </w:p>
        </w:tc>
      </w:tr>
      <w:tr w:rsidR="006D4713" w:rsidRPr="00662468" w14:paraId="6C68AC88" w14:textId="77777777" w:rsidTr="00662468">
        <w:trPr>
          <w:trHeight w:val="218"/>
          <w:jc w:val="center"/>
        </w:trPr>
        <w:tc>
          <w:tcPr>
            <w:tcW w:w="9292" w:type="dxa"/>
            <w:shd w:val="clear" w:color="auto" w:fill="auto"/>
          </w:tcPr>
          <w:p w14:paraId="2621EF09" w14:textId="77777777" w:rsidR="002F1405" w:rsidRPr="00662468" w:rsidRDefault="002F1405" w:rsidP="002F1405">
            <w:pPr>
              <w:spacing w:after="6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1</w:t>
            </w: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Respiratory Physiology, The Alfred Hospital, VIC, Australia</w:t>
            </w:r>
          </w:p>
          <w:p w14:paraId="7EDC05CE" w14:textId="77777777" w:rsidR="002F1405" w:rsidRPr="00662468" w:rsidRDefault="002F1405" w:rsidP="002F1405">
            <w:pPr>
              <w:spacing w:after="6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2</w:t>
            </w: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Monash University, VIC, Australia </w:t>
            </w:r>
          </w:p>
          <w:p w14:paraId="59D7B25C" w14:textId="77777777" w:rsidR="002F1405" w:rsidRPr="00662468" w:rsidRDefault="002F1405" w:rsidP="002F1405">
            <w:pPr>
              <w:spacing w:after="6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3</w:t>
            </w:r>
            <w:r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Newcastle University, Newcastle Upon Tyne, UK</w:t>
            </w:r>
          </w:p>
          <w:p w14:paraId="0127B915" w14:textId="0E28F17F" w:rsidR="002F1405" w:rsidRPr="00662468" w:rsidRDefault="002131F1" w:rsidP="002F1405">
            <w:pPr>
              <w:spacing w:after="6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4</w:t>
            </w:r>
            <w:r w:rsidR="002F1405"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Department of Medicine, University of California, San Diego, USA</w:t>
            </w:r>
          </w:p>
          <w:p w14:paraId="6C68AC87" w14:textId="0EBBF372" w:rsidR="002131F1" w:rsidRPr="00662468" w:rsidRDefault="00243B77" w:rsidP="002F1405">
            <w:pPr>
              <w:spacing w:after="6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66246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5</w:t>
            </w:r>
            <w:r w:rsidR="002004ED" w:rsidRPr="00662468">
              <w:rPr>
                <w:rFonts w:ascii="Arial" w:hAnsi="Arial" w:cs="Arial"/>
                <w:i/>
                <w:sz w:val="22"/>
                <w:szCs w:val="22"/>
                <w:lang w:val="en-US"/>
              </w:rPr>
              <w:t>University of Melbourne, School of Sciences, VIC, Australia</w:t>
            </w:r>
          </w:p>
        </w:tc>
      </w:tr>
      <w:tr w:rsidR="006D4713" w:rsidRPr="00662468" w14:paraId="6C68ACA3" w14:textId="77777777" w:rsidTr="00662468">
        <w:trPr>
          <w:trHeight w:hRule="exact" w:val="11884"/>
          <w:jc w:val="center"/>
        </w:trPr>
        <w:tc>
          <w:tcPr>
            <w:tcW w:w="9292" w:type="dxa"/>
            <w:shd w:val="clear" w:color="auto" w:fill="auto"/>
          </w:tcPr>
          <w:p w14:paraId="6286BCC8" w14:textId="77777777" w:rsidR="00733D3B" w:rsidRPr="00662468" w:rsidRDefault="00752808" w:rsidP="00733D3B">
            <w:pPr>
              <w:pStyle w:val="Pa12"/>
              <w:spacing w:after="120"/>
              <w:rPr>
                <w:rStyle w:val="A4"/>
                <w:b/>
                <w:bCs/>
              </w:rPr>
            </w:pPr>
            <w:r w:rsidRPr="00662468">
              <w:rPr>
                <w:rStyle w:val="A4"/>
                <w:b/>
                <w:bCs/>
              </w:rPr>
              <w:t>Introduction/</w:t>
            </w:r>
            <w:r w:rsidR="006D4713" w:rsidRPr="00662468">
              <w:rPr>
                <w:rStyle w:val="A4"/>
                <w:b/>
                <w:bCs/>
              </w:rPr>
              <w:t xml:space="preserve">Aim: </w:t>
            </w:r>
          </w:p>
          <w:p w14:paraId="1EC48988" w14:textId="0925D41E" w:rsidR="003800DD" w:rsidRPr="00662468" w:rsidRDefault="00A96676" w:rsidP="001A5B3E">
            <w:pPr>
              <w:pStyle w:val="Pa12"/>
              <w:spacing w:after="120"/>
              <w:rPr>
                <w:sz w:val="22"/>
                <w:szCs w:val="22"/>
              </w:rPr>
            </w:pPr>
            <w:r w:rsidRPr="00662468">
              <w:rPr>
                <w:sz w:val="22"/>
                <w:szCs w:val="22"/>
              </w:rPr>
              <w:t xml:space="preserve">Peripheral airway dysfunction function is associated with airway hyperreactivity and symptom burden in asthma, however the efficacy of inhaled medication targeting </w:t>
            </w:r>
            <w:r w:rsidR="00E57EE5" w:rsidRPr="00662468">
              <w:rPr>
                <w:sz w:val="22"/>
                <w:szCs w:val="22"/>
              </w:rPr>
              <w:t xml:space="preserve">peripheral </w:t>
            </w:r>
            <w:r w:rsidRPr="00662468">
              <w:rPr>
                <w:sz w:val="22"/>
                <w:szCs w:val="22"/>
              </w:rPr>
              <w:t xml:space="preserve">airway regions has not been assessed with sensitive measures. This study </w:t>
            </w:r>
            <w:r w:rsidR="00E57EE5" w:rsidRPr="00662468">
              <w:rPr>
                <w:sz w:val="22"/>
                <w:szCs w:val="22"/>
              </w:rPr>
              <w:t>measured</w:t>
            </w:r>
            <w:r w:rsidRPr="00662468">
              <w:rPr>
                <w:sz w:val="22"/>
                <w:szCs w:val="22"/>
              </w:rPr>
              <w:t xml:space="preserve"> response to </w:t>
            </w:r>
            <w:r w:rsidR="00E57EE5" w:rsidRPr="00662468">
              <w:rPr>
                <w:sz w:val="22"/>
                <w:szCs w:val="22"/>
              </w:rPr>
              <w:t xml:space="preserve">small and large particle aerosol bronchodilator with assessment of conductive and peripheral airway function </w:t>
            </w:r>
            <w:r w:rsidR="0071239F" w:rsidRPr="00662468">
              <w:rPr>
                <w:sz w:val="22"/>
                <w:szCs w:val="22"/>
              </w:rPr>
              <w:t xml:space="preserve">via MBW </w:t>
            </w:r>
            <w:r w:rsidR="00E57EE5" w:rsidRPr="00662468">
              <w:rPr>
                <w:sz w:val="22"/>
                <w:szCs w:val="22"/>
              </w:rPr>
              <w:t xml:space="preserve">and spatial ventilation via MR </w:t>
            </w:r>
            <w:r w:rsidRPr="00662468">
              <w:rPr>
                <w:sz w:val="22"/>
                <w:szCs w:val="22"/>
              </w:rPr>
              <w:t>scans</w:t>
            </w:r>
            <w:r w:rsidR="00E57EE5" w:rsidRPr="00662468">
              <w:rPr>
                <w:sz w:val="22"/>
                <w:szCs w:val="22"/>
              </w:rPr>
              <w:t xml:space="preserve">. </w:t>
            </w:r>
          </w:p>
          <w:p w14:paraId="201C967E" w14:textId="39D30BDB" w:rsidR="00733D3B" w:rsidRPr="00662468" w:rsidRDefault="002F1405" w:rsidP="00733D3B">
            <w:pPr>
              <w:pStyle w:val="Pa12"/>
              <w:spacing w:after="120"/>
              <w:rPr>
                <w:rStyle w:val="A4"/>
                <w:b/>
                <w:bCs/>
              </w:rPr>
            </w:pPr>
            <w:r w:rsidRPr="00662468">
              <w:rPr>
                <w:rStyle w:val="A4"/>
                <w:b/>
                <w:bCs/>
              </w:rPr>
              <w:t>M</w:t>
            </w:r>
            <w:r w:rsidR="006D4713" w:rsidRPr="00662468">
              <w:rPr>
                <w:rStyle w:val="A4"/>
                <w:b/>
                <w:bCs/>
              </w:rPr>
              <w:t xml:space="preserve">ethod: </w:t>
            </w:r>
          </w:p>
          <w:p w14:paraId="5C141317" w14:textId="058D3C6B" w:rsidR="002F1405" w:rsidRPr="00662468" w:rsidRDefault="00E57EE5" w:rsidP="001A5B3E">
            <w:pPr>
              <w:pStyle w:val="Pa12"/>
              <w:spacing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2468"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662468">
              <w:rPr>
                <w:sz w:val="22"/>
                <w:szCs w:val="22"/>
              </w:rPr>
              <w:t xml:space="preserve">subjects with asthma </w:t>
            </w:r>
            <w:r w:rsidR="002F1405" w:rsidRPr="00662468">
              <w:rPr>
                <w:sz w:val="22"/>
                <w:szCs w:val="22"/>
              </w:rPr>
              <w:t>completed spirometry, multi-breath nitrogen washout to measure conductive (</w:t>
            </w:r>
            <w:proofErr w:type="spellStart"/>
            <w:r w:rsidR="002F1405" w:rsidRPr="00662468">
              <w:rPr>
                <w:sz w:val="22"/>
                <w:szCs w:val="22"/>
              </w:rPr>
              <w:t>S</w:t>
            </w:r>
            <w:r w:rsidR="002F1405" w:rsidRPr="00662468">
              <w:rPr>
                <w:sz w:val="22"/>
                <w:szCs w:val="22"/>
                <w:vertAlign w:val="subscript"/>
              </w:rPr>
              <w:t>cond</w:t>
            </w:r>
            <w:proofErr w:type="spellEnd"/>
            <w:r w:rsidR="002F1405" w:rsidRPr="00662468">
              <w:rPr>
                <w:sz w:val="22"/>
                <w:szCs w:val="22"/>
              </w:rPr>
              <w:t>) and acinar (</w:t>
            </w:r>
            <w:proofErr w:type="spellStart"/>
            <w:r w:rsidR="002F1405" w:rsidRPr="00662468">
              <w:rPr>
                <w:sz w:val="22"/>
                <w:szCs w:val="22"/>
              </w:rPr>
              <w:t>S</w:t>
            </w:r>
            <w:r w:rsidR="002F1405" w:rsidRPr="00662468">
              <w:rPr>
                <w:sz w:val="22"/>
                <w:szCs w:val="22"/>
                <w:vertAlign w:val="subscript"/>
              </w:rPr>
              <w:t>acin</w:t>
            </w:r>
            <w:proofErr w:type="spellEnd"/>
            <w:r w:rsidR="002F1405" w:rsidRPr="00662468">
              <w:rPr>
                <w:sz w:val="22"/>
                <w:szCs w:val="22"/>
              </w:rPr>
              <w:t xml:space="preserve">) ventilation heterogeneity, </w:t>
            </w:r>
            <w:r w:rsidR="002131F1" w:rsidRPr="00662468">
              <w:rPr>
                <w:sz w:val="22"/>
                <w:szCs w:val="22"/>
              </w:rPr>
              <w:t xml:space="preserve">forced oscillation technique, and specific ventilation imaging (SVI) </w:t>
            </w:r>
            <w:r w:rsidR="002F1405" w:rsidRPr="00662468">
              <w:rPr>
                <w:sz w:val="22"/>
                <w:szCs w:val="22"/>
              </w:rPr>
              <w:t xml:space="preserve">to measure the spatial heterogeneity of ventilation. Tests were performed at baseline </w:t>
            </w:r>
            <w:r w:rsidR="0071239F" w:rsidRPr="00662468">
              <w:rPr>
                <w:sz w:val="22"/>
                <w:szCs w:val="22"/>
              </w:rPr>
              <w:t>following a 24</w:t>
            </w:r>
            <w:r w:rsidR="00062FEF" w:rsidRPr="00662468">
              <w:rPr>
                <w:sz w:val="22"/>
                <w:szCs w:val="22"/>
              </w:rPr>
              <w:t>-</w:t>
            </w:r>
            <w:r w:rsidR="0071239F" w:rsidRPr="00662468">
              <w:rPr>
                <w:sz w:val="22"/>
                <w:szCs w:val="22"/>
              </w:rPr>
              <w:t xml:space="preserve">hour drug withhold </w:t>
            </w:r>
            <w:r w:rsidR="002F1405" w:rsidRPr="00662468">
              <w:rPr>
                <w:sz w:val="22"/>
                <w:szCs w:val="22"/>
              </w:rPr>
              <w:t xml:space="preserve">and post </w:t>
            </w:r>
            <w:r w:rsidR="0039374C" w:rsidRPr="00662468">
              <w:rPr>
                <w:sz w:val="22"/>
                <w:szCs w:val="22"/>
              </w:rPr>
              <w:t>30</w:t>
            </w:r>
            <w:r w:rsidR="00062FEF" w:rsidRPr="00662468">
              <w:rPr>
                <w:sz w:val="22"/>
                <w:szCs w:val="22"/>
              </w:rPr>
              <w:t>µ</w:t>
            </w:r>
            <w:r w:rsidR="0039374C" w:rsidRPr="00662468">
              <w:rPr>
                <w:sz w:val="22"/>
                <w:szCs w:val="22"/>
              </w:rPr>
              <w:t xml:space="preserve">g </w:t>
            </w:r>
            <w:r w:rsidR="002F1405" w:rsidRPr="00662468">
              <w:rPr>
                <w:sz w:val="22"/>
                <w:szCs w:val="22"/>
              </w:rPr>
              <w:t xml:space="preserve">SABA delivered via vibrating mesh nebuliser </w:t>
            </w:r>
            <w:r w:rsidR="0071239F" w:rsidRPr="00662468">
              <w:rPr>
                <w:sz w:val="22"/>
                <w:szCs w:val="22"/>
              </w:rPr>
              <w:t>on two visits</w:t>
            </w:r>
            <w:r w:rsidR="002F1405" w:rsidRPr="00662468">
              <w:rPr>
                <w:sz w:val="22"/>
                <w:szCs w:val="22"/>
              </w:rPr>
              <w:t>; a large (6.2μm) and small</w:t>
            </w:r>
            <w:r w:rsidR="002F1405" w:rsidRPr="00662468">
              <w:rPr>
                <w:color w:val="000000" w:themeColor="text1"/>
                <w:sz w:val="22"/>
                <w:szCs w:val="22"/>
              </w:rPr>
              <w:t xml:space="preserve"> (2.6μm) particle visit.</w:t>
            </w:r>
          </w:p>
          <w:p w14:paraId="40E90420" w14:textId="4C8C70D8" w:rsidR="00E63375" w:rsidRPr="00662468" w:rsidRDefault="006D4713" w:rsidP="00E63375">
            <w:pPr>
              <w:spacing w:after="120"/>
              <w:rPr>
                <w:rStyle w:val="A4"/>
                <w:rFonts w:ascii="Arial" w:hAnsi="Arial" w:cs="Arial"/>
                <w:b/>
                <w:bCs/>
                <w:lang w:val="en-NZ" w:eastAsia="en-NZ"/>
              </w:rPr>
            </w:pPr>
            <w:r w:rsidRPr="00662468">
              <w:rPr>
                <w:rStyle w:val="A4"/>
                <w:rFonts w:ascii="Arial" w:hAnsi="Arial" w:cs="Arial"/>
                <w:b/>
                <w:bCs/>
                <w:lang w:val="en-NZ" w:eastAsia="en-NZ"/>
              </w:rPr>
              <w:t xml:space="preserve">Results: </w:t>
            </w:r>
          </w:p>
          <w:p w14:paraId="32483B31" w14:textId="771DE699" w:rsidR="00121BB5" w:rsidRPr="00662468" w:rsidRDefault="00662468" w:rsidP="00062FEF">
            <w:p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</w:pPr>
            <w:r w:rsidRPr="00662468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8FC6A3C" wp14:editId="36B133DA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1565275</wp:posOffset>
                  </wp:positionV>
                  <wp:extent cx="2019300" cy="134094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34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Small particle SABA achieved a </w:t>
            </w:r>
            <w:r w:rsidR="002F035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statistically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significant </w:t>
            </w:r>
            <w:r w:rsidR="00FE7FCD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improvement </w:t>
            </w:r>
            <w:r w:rsidR="00E6337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from baseline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for</w:t>
            </w:r>
            <w:r w:rsidR="00576AA9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more parameters </w:t>
            </w:r>
            <w:r w:rsidR="002F035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compared to large particle (12 vs 2). </w:t>
            </w:r>
            <w:r w:rsidR="00E6337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A greater number of </w:t>
            </w:r>
            <w:r w:rsidR="002F035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subjects achieved a clinically significant </w:t>
            </w:r>
            <w:proofErr w:type="spellStart"/>
            <w:r w:rsidR="000D5D04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spirometric</w:t>
            </w:r>
            <w:proofErr w:type="spellEnd"/>
            <w:r w:rsidR="000D5D04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</w:t>
            </w:r>
            <w:r w:rsidR="002F035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response with small particle SABA</w:t>
            </w:r>
            <w:r w:rsidR="00E6337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compared to large</w:t>
            </w:r>
            <w:r w:rsidR="000D5D04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</w:t>
            </w:r>
            <w:r w:rsidR="002F035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(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5 </w:t>
            </w:r>
            <w:r w:rsidR="001141E3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subjects </w:t>
            </w:r>
            <w:r w:rsidR="002F035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vs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1</w:t>
            </w:r>
            <w:r w:rsidR="002F035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)</w:t>
            </w:r>
            <w:r w:rsidR="000D5D04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. Of those ‘responders’ </w:t>
            </w:r>
            <w:r w:rsidR="00E6337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a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greater</w:t>
            </w:r>
            <w:r w:rsidR="000D5D04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reversal of airway dysfunction was seen</w:t>
            </w:r>
            <w:r w:rsidR="00E6337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post small particle bronchodilator for: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ΔFEV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NZ" w:eastAsia="en-NZ"/>
              </w:rPr>
              <w:t>1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mL</w:t>
            </w:r>
            <w:r w:rsidR="00062FEF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510±170 (small) </w:t>
            </w:r>
            <w:r w:rsidR="003C48E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vs 226±151 (large),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p=0.01, ventilation heterogeneity ΔS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  <w:lang w:val="en-NZ" w:eastAsia="en-NZ"/>
              </w:rPr>
              <w:t>acin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(L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NZ" w:eastAsia="en-NZ"/>
              </w:rPr>
              <w:t>-1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) -0.041±0.0007 (small) </w:t>
            </w:r>
            <w:r w:rsidR="003C48E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vs 0.013±0.027 (large),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p=0.02</w:t>
            </w:r>
            <w:r w:rsidR="00E6337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,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and airway closure ΔDR2vol (% of TLC) -7.7±3.2 (small) </w:t>
            </w:r>
            <w:r w:rsidR="003C48E2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vs 1.0±5.3 (large), 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p=0.01</w:t>
            </w:r>
            <w:r w:rsidR="000D5D04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. </w:t>
            </w:r>
            <w:r w:rsidR="00121BB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Reversal of abnormal distribution of s</w:t>
            </w:r>
            <w:r w:rsidR="0039374C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>pecific ventilation</w:t>
            </w:r>
            <w:r w:rsidR="00121BB5"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was seen in some subjects (figure) however there was no difference between response to small and large BD. </w:t>
            </w:r>
          </w:p>
          <w:p w14:paraId="428276B6" w14:textId="46599E62" w:rsidR="00121BB5" w:rsidRPr="00662468" w:rsidRDefault="00121BB5" w:rsidP="00E6337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</w:pPr>
          </w:p>
          <w:p w14:paraId="7F260149" w14:textId="38DDD988" w:rsidR="005355F8" w:rsidRPr="00662468" w:rsidRDefault="005355F8" w:rsidP="00E6337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</w:pPr>
            <w:r w:rsidRPr="00662468">
              <w:rPr>
                <w:rFonts w:ascii="Arial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</w:t>
            </w:r>
          </w:p>
          <w:p w14:paraId="29AFD359" w14:textId="75708C54" w:rsidR="00802403" w:rsidRPr="00662468" w:rsidRDefault="00802403" w:rsidP="00733D3B">
            <w:pPr>
              <w:pStyle w:val="NormalWeb"/>
              <w:rPr>
                <w:rStyle w:val="A4"/>
                <w:rFonts w:ascii="Arial" w:hAnsi="Arial" w:cs="Arial"/>
                <w:b/>
                <w:bCs/>
              </w:rPr>
            </w:pPr>
          </w:p>
          <w:p w14:paraId="2DBE57DB" w14:textId="605193FD" w:rsidR="001A5B3E" w:rsidRDefault="001A5B3E" w:rsidP="00733D3B">
            <w:pPr>
              <w:pStyle w:val="NormalWeb"/>
              <w:rPr>
                <w:rStyle w:val="A4"/>
                <w:rFonts w:ascii="Arial" w:hAnsi="Arial" w:cs="Arial"/>
                <w:b/>
                <w:bCs/>
              </w:rPr>
            </w:pPr>
          </w:p>
          <w:p w14:paraId="34A736D0" w14:textId="77777777" w:rsidR="00662468" w:rsidRPr="00662468" w:rsidRDefault="00662468" w:rsidP="00733D3B">
            <w:pPr>
              <w:pStyle w:val="NormalWeb"/>
              <w:rPr>
                <w:rStyle w:val="A4"/>
                <w:rFonts w:ascii="Arial" w:hAnsi="Arial" w:cs="Arial"/>
                <w:b/>
                <w:bCs/>
              </w:rPr>
            </w:pPr>
          </w:p>
          <w:p w14:paraId="51F73444" w14:textId="6671E5CD" w:rsidR="00121BB5" w:rsidRPr="00662468" w:rsidRDefault="00576AA9" w:rsidP="00662468">
            <w:pPr>
              <w:pStyle w:val="NormalWeb"/>
              <w:spacing w:after="240" w:afterAutospacing="0"/>
              <w:rPr>
                <w:rStyle w:val="A4"/>
                <w:rFonts w:ascii="Arial" w:hAnsi="Arial" w:cs="Arial"/>
                <w:bCs/>
              </w:rPr>
            </w:pPr>
            <w:r w:rsidRPr="00662468">
              <w:rPr>
                <w:rStyle w:val="A4"/>
                <w:rFonts w:ascii="Arial" w:hAnsi="Arial" w:cs="Arial"/>
                <w:b/>
                <w:bCs/>
              </w:rPr>
              <w:t>Figure:</w:t>
            </w:r>
            <w:r w:rsidRPr="00662468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1E1477" w:rsidRPr="00662468">
              <w:rPr>
                <w:rStyle w:val="A4"/>
                <w:rFonts w:ascii="Arial" w:hAnsi="Arial" w:cs="Arial"/>
                <w:bCs/>
              </w:rPr>
              <w:t>Asthma s</w:t>
            </w:r>
            <w:r w:rsidR="00121BB5" w:rsidRPr="00662468">
              <w:rPr>
                <w:rStyle w:val="A4"/>
                <w:rFonts w:ascii="Arial" w:hAnsi="Arial" w:cs="Arial"/>
                <w:bCs/>
              </w:rPr>
              <w:t>ubject s</w:t>
            </w:r>
            <w:r w:rsidRPr="00662468">
              <w:rPr>
                <w:rStyle w:val="A4"/>
                <w:rFonts w:ascii="Arial" w:hAnsi="Arial" w:cs="Arial"/>
                <w:bCs/>
              </w:rPr>
              <w:t xml:space="preserve">pecific ventilation maps </w:t>
            </w:r>
            <w:r w:rsidR="00121BB5" w:rsidRPr="00662468">
              <w:rPr>
                <w:rStyle w:val="A4"/>
                <w:rFonts w:ascii="Arial" w:hAnsi="Arial" w:cs="Arial"/>
                <w:bCs/>
              </w:rPr>
              <w:t>at baseline (left) demonstrated abnormal distribution of SV</w:t>
            </w:r>
            <w:r w:rsidR="001E1477" w:rsidRPr="00662468">
              <w:rPr>
                <w:rStyle w:val="A4"/>
                <w:rFonts w:ascii="Arial" w:hAnsi="Arial" w:cs="Arial"/>
                <w:bCs/>
              </w:rPr>
              <w:t>,</w:t>
            </w:r>
            <w:r w:rsidR="00121BB5" w:rsidRPr="00662468">
              <w:rPr>
                <w:rStyle w:val="A4"/>
                <w:rFonts w:ascii="Arial" w:hAnsi="Arial" w:cs="Arial"/>
                <w:bCs/>
              </w:rPr>
              <w:t xml:space="preserve"> which is greatest in non-dependent lung, post-</w:t>
            </w:r>
            <w:r w:rsidRPr="00662468">
              <w:rPr>
                <w:rStyle w:val="A4"/>
                <w:rFonts w:ascii="Arial" w:hAnsi="Arial" w:cs="Arial"/>
                <w:bCs/>
              </w:rPr>
              <w:t xml:space="preserve">small particle bronchodilator </w:t>
            </w:r>
            <w:r w:rsidR="00121BB5" w:rsidRPr="00662468">
              <w:rPr>
                <w:rStyle w:val="A4"/>
                <w:rFonts w:ascii="Arial" w:hAnsi="Arial" w:cs="Arial"/>
                <w:bCs/>
              </w:rPr>
              <w:t xml:space="preserve">(right) specific ventilation </w:t>
            </w:r>
            <w:r w:rsidR="00FE7FCD" w:rsidRPr="00662468">
              <w:rPr>
                <w:rStyle w:val="A4"/>
                <w:rFonts w:ascii="Arial" w:hAnsi="Arial" w:cs="Arial"/>
                <w:bCs/>
              </w:rPr>
              <w:t xml:space="preserve">was </w:t>
            </w:r>
            <w:r w:rsidR="00121BB5" w:rsidRPr="00662468">
              <w:rPr>
                <w:rStyle w:val="A4"/>
                <w:rFonts w:ascii="Arial" w:hAnsi="Arial" w:cs="Arial"/>
                <w:bCs/>
              </w:rPr>
              <w:t xml:space="preserve">more homogenous. </w:t>
            </w:r>
          </w:p>
          <w:p w14:paraId="6A77020E" w14:textId="4552320D" w:rsidR="001A5B3E" w:rsidRPr="00662468" w:rsidRDefault="006D4713" w:rsidP="003C48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74151"/>
                <w:sz w:val="22"/>
                <w:szCs w:val="22"/>
                <w:shd w:val="clear" w:color="auto" w:fill="F7F7F8"/>
              </w:rPr>
            </w:pPr>
            <w:r w:rsidRPr="00662468">
              <w:rPr>
                <w:rStyle w:val="A4"/>
                <w:rFonts w:ascii="Arial" w:hAnsi="Arial" w:cs="Arial"/>
                <w:b/>
                <w:bCs/>
              </w:rPr>
              <w:t xml:space="preserve">Conclusion: </w:t>
            </w:r>
            <w:r w:rsidRPr="00662468">
              <w:rPr>
                <w:rFonts w:ascii="Arial" w:hAnsi="Arial" w:cs="Arial"/>
                <w:sz w:val="22"/>
                <w:szCs w:val="22"/>
              </w:rPr>
              <w:br/>
            </w:r>
            <w:r w:rsidR="003C48E2" w:rsidRPr="00662468">
              <w:rPr>
                <w:rFonts w:ascii="Arial" w:hAnsi="Arial" w:cs="Arial"/>
                <w:sz w:val="22"/>
                <w:szCs w:val="22"/>
              </w:rPr>
              <w:t xml:space="preserve">Small particle aerosol </w:t>
            </w:r>
            <w:r w:rsidR="00121BB5" w:rsidRPr="00662468">
              <w:rPr>
                <w:rFonts w:ascii="Arial" w:hAnsi="Arial" w:cs="Arial"/>
                <w:sz w:val="22"/>
                <w:szCs w:val="22"/>
              </w:rPr>
              <w:t xml:space="preserve">bronchodilator </w:t>
            </w:r>
            <w:r w:rsidR="003C48E2" w:rsidRPr="00662468">
              <w:rPr>
                <w:rFonts w:ascii="Arial" w:hAnsi="Arial" w:cs="Arial"/>
                <w:sz w:val="22"/>
                <w:szCs w:val="22"/>
              </w:rPr>
              <w:t>is superior to large particle in reversing peripheral airway dysfunction for some patient</w:t>
            </w:r>
            <w:r w:rsidR="001A5B3E" w:rsidRPr="00662468">
              <w:rPr>
                <w:rFonts w:ascii="Arial" w:hAnsi="Arial" w:cs="Arial"/>
                <w:sz w:val="22"/>
                <w:szCs w:val="22"/>
              </w:rPr>
              <w:t>s, highlighting the importance of patient phenotyping for personalised medicine in airway t</w:t>
            </w:r>
            <w:r w:rsidR="006625C0" w:rsidRPr="00662468">
              <w:rPr>
                <w:rFonts w:ascii="Arial" w:hAnsi="Arial" w:cs="Arial"/>
                <w:sz w:val="22"/>
                <w:szCs w:val="22"/>
              </w:rPr>
              <w:t xml:space="preserve">herapy. </w:t>
            </w:r>
          </w:p>
          <w:p w14:paraId="1BB697C7" w14:textId="77777777" w:rsidR="001A5B3E" w:rsidRPr="00662468" w:rsidRDefault="001A5B3E" w:rsidP="003C48E2">
            <w:pPr>
              <w:pStyle w:val="NormalWeb"/>
              <w:spacing w:before="0" w:beforeAutospacing="0" w:after="0" w:afterAutospacing="0"/>
              <w:rPr>
                <w:rStyle w:val="A4"/>
                <w:rFonts w:ascii="Arial" w:hAnsi="Arial" w:cs="Arial"/>
                <w:b/>
                <w:bCs/>
              </w:rPr>
            </w:pPr>
          </w:p>
          <w:p w14:paraId="49AB0959" w14:textId="599E7673" w:rsidR="003C48E2" w:rsidRPr="00662468" w:rsidRDefault="006D4713" w:rsidP="003C48E2">
            <w:pPr>
              <w:pStyle w:val="NormalWeb"/>
              <w:spacing w:before="0" w:beforeAutospacing="0" w:after="0" w:afterAutospacing="0"/>
              <w:rPr>
                <w:rStyle w:val="A4"/>
                <w:rFonts w:ascii="Arial" w:hAnsi="Arial" w:cs="Arial"/>
                <w:bCs/>
              </w:rPr>
            </w:pPr>
            <w:r w:rsidRPr="00662468">
              <w:rPr>
                <w:rStyle w:val="A4"/>
                <w:rFonts w:ascii="Arial" w:hAnsi="Arial" w:cs="Arial"/>
                <w:b/>
                <w:bCs/>
              </w:rPr>
              <w:t>Key Words</w:t>
            </w:r>
            <w:r w:rsidRPr="00662468">
              <w:rPr>
                <w:rStyle w:val="A4"/>
                <w:rFonts w:ascii="Arial" w:hAnsi="Arial" w:cs="Arial"/>
                <w:b/>
              </w:rPr>
              <w:t>:</w:t>
            </w:r>
            <w:r w:rsidR="00A96676" w:rsidRPr="00662468">
              <w:rPr>
                <w:rStyle w:val="A4"/>
                <w:rFonts w:ascii="Arial" w:hAnsi="Arial" w:cs="Arial"/>
              </w:rPr>
              <w:t xml:space="preserve"> </w:t>
            </w:r>
            <w:r w:rsidR="00A96676" w:rsidRPr="00662468">
              <w:rPr>
                <w:rStyle w:val="A4"/>
                <w:rFonts w:ascii="Arial" w:hAnsi="Arial" w:cs="Arial"/>
                <w:bCs/>
              </w:rPr>
              <w:t>Peripheral airway function, aerosol</w:t>
            </w:r>
            <w:r w:rsidR="00762F22" w:rsidRPr="00662468">
              <w:rPr>
                <w:rStyle w:val="A4"/>
                <w:rFonts w:ascii="Arial" w:hAnsi="Arial" w:cs="Arial"/>
                <w:bCs/>
              </w:rPr>
              <w:t xml:space="preserve">, asthma, ventilation heterogeneity </w:t>
            </w:r>
          </w:p>
          <w:p w14:paraId="6C68ACA2" w14:textId="16975A02" w:rsidR="006D4713" w:rsidRPr="00662468" w:rsidRDefault="006D4713" w:rsidP="003C48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6246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</w:tc>
      </w:tr>
    </w:tbl>
    <w:p w14:paraId="6C68ACA4" w14:textId="7776740A" w:rsidR="00EE3EA8" w:rsidRPr="00662468" w:rsidRDefault="00EE3EA8" w:rsidP="00576AA9">
      <w:pPr>
        <w:rPr>
          <w:rFonts w:ascii="Arial" w:hAnsi="Arial" w:cs="Arial"/>
          <w:sz w:val="22"/>
          <w:szCs w:val="22"/>
        </w:rPr>
      </w:pPr>
    </w:p>
    <w:sectPr w:rsidR="00EE3EA8" w:rsidRPr="00662468" w:rsidSect="00662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9C543AB" w16cex:dateUtc="2023-10-15T21:25:00Z"/>
  <w16cex:commentExtensible w16cex:durableId="0962587D" w16cex:dateUtc="2023-10-13T22:57:00Z"/>
  <w16cex:commentExtensible w16cex:durableId="79A95A8C" w16cex:dateUtc="2023-10-17T05:11:00Z"/>
  <w16cex:commentExtensible w16cex:durableId="5ABE900B" w16cex:dateUtc="2023-10-13T22:5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037B90"/>
    <w:rsid w:val="0005550E"/>
    <w:rsid w:val="00062FEF"/>
    <w:rsid w:val="000658BD"/>
    <w:rsid w:val="000C616D"/>
    <w:rsid w:val="000D5D04"/>
    <w:rsid w:val="001141E3"/>
    <w:rsid w:val="00121BB5"/>
    <w:rsid w:val="001A5B3E"/>
    <w:rsid w:val="001E1477"/>
    <w:rsid w:val="002004ED"/>
    <w:rsid w:val="002131F1"/>
    <w:rsid w:val="00243B77"/>
    <w:rsid w:val="002B4988"/>
    <w:rsid w:val="002B5019"/>
    <w:rsid w:val="002F0352"/>
    <w:rsid w:val="002F1405"/>
    <w:rsid w:val="00323005"/>
    <w:rsid w:val="00361F7E"/>
    <w:rsid w:val="003800DD"/>
    <w:rsid w:val="0039374C"/>
    <w:rsid w:val="003C48E2"/>
    <w:rsid w:val="003F0690"/>
    <w:rsid w:val="00487EC0"/>
    <w:rsid w:val="005355F8"/>
    <w:rsid w:val="00576AA9"/>
    <w:rsid w:val="005B3C80"/>
    <w:rsid w:val="006438E9"/>
    <w:rsid w:val="00662468"/>
    <w:rsid w:val="006625C0"/>
    <w:rsid w:val="006D4713"/>
    <w:rsid w:val="0071239F"/>
    <w:rsid w:val="00733D3B"/>
    <w:rsid w:val="00752808"/>
    <w:rsid w:val="00762F22"/>
    <w:rsid w:val="00802403"/>
    <w:rsid w:val="008458CC"/>
    <w:rsid w:val="00857F44"/>
    <w:rsid w:val="008B3B18"/>
    <w:rsid w:val="008D02AB"/>
    <w:rsid w:val="008F5059"/>
    <w:rsid w:val="009656B9"/>
    <w:rsid w:val="00994219"/>
    <w:rsid w:val="009A0FEB"/>
    <w:rsid w:val="00A44891"/>
    <w:rsid w:val="00A50E10"/>
    <w:rsid w:val="00A56409"/>
    <w:rsid w:val="00A872FA"/>
    <w:rsid w:val="00A96676"/>
    <w:rsid w:val="00C10761"/>
    <w:rsid w:val="00C91C8C"/>
    <w:rsid w:val="00D02B65"/>
    <w:rsid w:val="00E57EE5"/>
    <w:rsid w:val="00E63375"/>
    <w:rsid w:val="00EB2828"/>
    <w:rsid w:val="00EE3EA8"/>
    <w:rsid w:val="00FE6EF5"/>
    <w:rsid w:val="00FE7FAA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A96676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71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FC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FC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5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3" ma:contentTypeDescription="Create a new document." ma:contentTypeScope="" ma:versionID="d7ad45a5ccac3379323364728ca4531b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7a3738a93dfd5931362e12ad6010410c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8979-0D51-47B0-B9C7-5BF8E335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c8a2b7b-0bee-4c48-b0a6-23db8982d3bc"/>
    <ds:schemaRef ds:uri="http://purl.org/dc/dcmitype/"/>
    <ds:schemaRef ds:uri="6911e96c-4cc4-42d5-8e43-f93924cf6a05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04923-EA73-43DD-BAF0-A76F3186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OSullivan, Claire</cp:lastModifiedBy>
  <cp:revision>3</cp:revision>
  <dcterms:created xsi:type="dcterms:W3CDTF">2023-10-19T01:03:00Z</dcterms:created>
  <dcterms:modified xsi:type="dcterms:W3CDTF">2023-10-19T01:04:00Z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GrammarlyDocumentId">
    <vt:lpwstr>1ef0f085-14da-4d5d-9216-a86111df7f43</vt:lpwstr>
  </property>
</Properties>
</file>