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FCC3A" w14:textId="77777777" w:rsidR="00807B2F" w:rsidRDefault="00807B2F"/>
    <w:p w14:paraId="286FCC3B" w14:textId="77777777" w:rsidR="00807B2F" w:rsidRDefault="00554706">
      <w:r>
        <w:t xml:space="preserve">Abstract title (max. 25 words): </w:t>
      </w:r>
      <w:r>
        <w:rPr>
          <w:b/>
          <w:bCs/>
        </w:rPr>
        <w:t>CGM use and driving safety: what diabetes health professionals need to know</w:t>
      </w:r>
    </w:p>
    <w:p w14:paraId="286FCC3C" w14:textId="77777777" w:rsidR="00807B2F" w:rsidRDefault="00807B2F"/>
    <w:p w14:paraId="286FCC3E" w14:textId="77777777" w:rsidR="00807B2F" w:rsidRDefault="00807B2F"/>
    <w:p w14:paraId="286FCC3F" w14:textId="77777777" w:rsidR="00807B2F" w:rsidRDefault="00554706">
      <w:pPr>
        <w:spacing w:after="120"/>
      </w:pPr>
      <w:r>
        <w:rPr>
          <w:b/>
          <w:bCs/>
        </w:rPr>
        <w:t xml:space="preserve">Aims: </w:t>
      </w:r>
      <w:r>
        <w:t>To examine associations between continuous glucose monitoring (CGM) use and self-reported hypoglycaemia while driving among people with diabetes, and to identify barriers and desired features for safe in-car CGM use relevant to clinical practice.</w:t>
      </w:r>
    </w:p>
    <w:p w14:paraId="286FCC40" w14:textId="4BA702F3" w:rsidR="00807B2F" w:rsidRDefault="00554706">
      <w:pPr>
        <w:spacing w:after="120"/>
      </w:pPr>
      <w:r>
        <w:rPr>
          <w:b/>
          <w:bCs/>
        </w:rPr>
        <w:t xml:space="preserve">Methods: </w:t>
      </w:r>
      <w:r>
        <w:t>A national survey of 1,209 Australian drivers with diabetes treated with glucose-lowering medication (</w:t>
      </w:r>
      <w:r w:rsidR="0007675E">
        <w:t>Q3</w:t>
      </w:r>
      <w:r>
        <w:t xml:space="preserve"> 2025). Logistic regression examined associations between CGM use and driving hypoglycaemia, adjusting for demographic, clinical, and driving factors. CGM users reported on device use, alert settings, and desired improvements.</w:t>
      </w:r>
    </w:p>
    <w:p w14:paraId="286FCC41" w14:textId="4EC5F197" w:rsidR="00807B2F" w:rsidRDefault="00554706">
      <w:pPr>
        <w:spacing w:after="120"/>
      </w:pPr>
      <w:r>
        <w:rPr>
          <w:b/>
          <w:bCs/>
        </w:rPr>
        <w:t xml:space="preserve">Results: </w:t>
      </w:r>
      <w:r>
        <w:t>Participants had a mean age of 55 (SD 15) years; 47% used CGM; 39% had type 1 diabetes. Twenty-eight percent reported hypoglycaemia while driving in the past 12 months. After adjustment, CGM use was associated with over three times the odds of reporting driving hypoglycaemia (adjusted OR: 3.61, 95% CI: 2.29–5.68), likely reflecting improved detection. Regular pre-drive glucose checking was associated with lower odds of driving hypoglycaemia (adjusted OR: 0.67, 95% CI: 0.46–0.98). Among CGM users, only 15% h</w:t>
      </w:r>
      <w:r>
        <w:t>ad adjusted alert thresholds for driving, half reported difficulty using CGM while driving, and 43% were uncertain about the legal status of in-car CGM use</w:t>
      </w:r>
      <w:r w:rsidR="00F2529F">
        <w:t xml:space="preserve"> (Figure 1)</w:t>
      </w:r>
      <w:r>
        <w:t xml:space="preserve">. </w:t>
      </w:r>
    </w:p>
    <w:p w14:paraId="21A418EF" w14:textId="5CAC3257" w:rsidR="00F71A86" w:rsidRDefault="00554706">
      <w:pPr>
        <w:spacing w:after="120"/>
      </w:pPr>
      <w:r>
        <w:rPr>
          <w:b/>
          <w:bCs/>
        </w:rPr>
        <w:t xml:space="preserve">Conclusion: </w:t>
      </w:r>
      <w:r>
        <w:t xml:space="preserve">CGM improves </w:t>
      </w:r>
      <w:r w:rsidR="00AE1744">
        <w:t xml:space="preserve">driving </w:t>
      </w:r>
      <w:r>
        <w:t>hypoglycaemia detection, but current devices lack driving-specific features. Health professionals can support safer driving by discussing CGM alert optimisation, encouraging pre-drive glucose checking, and informing people with diabetes that updated Australian Road Rules permit mounted devices to monitor a health condition while driving</w:t>
      </w:r>
      <w:r w:rsidR="00DD3762">
        <w:t xml:space="preserve"> (</w:t>
      </w:r>
      <w:r w:rsidR="00AE1744">
        <w:t xml:space="preserve">although </w:t>
      </w:r>
      <w:r w:rsidR="002E04E5">
        <w:t>state-specific laws should be checked)</w:t>
      </w:r>
      <w:r>
        <w:t>.</w:t>
      </w:r>
    </w:p>
    <w:p w14:paraId="286FCC59" w14:textId="36421ECB" w:rsidR="00807B2F" w:rsidRDefault="00F71A86">
      <w:pPr>
        <w:spacing w:after="120"/>
      </w:pPr>
      <w:r>
        <w:rPr>
          <w:noProof/>
        </w:rPr>
        <w:drawing>
          <wp:inline distT="0" distB="0" distL="0" distR="0" wp14:anchorId="59840271" wp14:editId="2F5D425F">
            <wp:extent cx="5731510" cy="3456940"/>
            <wp:effectExtent l="0" t="0" r="0" b="0"/>
            <wp:docPr id="17294005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400597" name="Picture 172940059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5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7B2F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91BF9"/>
    <w:multiLevelType w:val="hybridMultilevel"/>
    <w:tmpl w:val="C608A76C"/>
    <w:lvl w:ilvl="0" w:tplc="4886B076">
      <w:start w:val="1"/>
      <w:numFmt w:val="bullet"/>
      <w:lvlText w:val="●"/>
      <w:lvlJc w:val="left"/>
      <w:pPr>
        <w:ind w:left="720" w:hanging="360"/>
      </w:pPr>
    </w:lvl>
    <w:lvl w:ilvl="1" w:tplc="2AA8E496">
      <w:start w:val="1"/>
      <w:numFmt w:val="bullet"/>
      <w:lvlText w:val="○"/>
      <w:lvlJc w:val="left"/>
      <w:pPr>
        <w:ind w:left="1440" w:hanging="360"/>
      </w:pPr>
    </w:lvl>
    <w:lvl w:ilvl="2" w:tplc="F544C180">
      <w:start w:val="1"/>
      <w:numFmt w:val="bullet"/>
      <w:lvlText w:val="■"/>
      <w:lvlJc w:val="left"/>
      <w:pPr>
        <w:ind w:left="2160" w:hanging="360"/>
      </w:pPr>
    </w:lvl>
    <w:lvl w:ilvl="3" w:tplc="D174CB66">
      <w:start w:val="1"/>
      <w:numFmt w:val="bullet"/>
      <w:lvlText w:val="●"/>
      <w:lvlJc w:val="left"/>
      <w:pPr>
        <w:ind w:left="2880" w:hanging="360"/>
      </w:pPr>
    </w:lvl>
    <w:lvl w:ilvl="4" w:tplc="A8845ED6">
      <w:start w:val="1"/>
      <w:numFmt w:val="bullet"/>
      <w:lvlText w:val="○"/>
      <w:lvlJc w:val="left"/>
      <w:pPr>
        <w:ind w:left="3600" w:hanging="360"/>
      </w:pPr>
    </w:lvl>
    <w:lvl w:ilvl="5" w:tplc="8DB6F35E">
      <w:start w:val="1"/>
      <w:numFmt w:val="bullet"/>
      <w:lvlText w:val="■"/>
      <w:lvlJc w:val="left"/>
      <w:pPr>
        <w:ind w:left="4320" w:hanging="360"/>
      </w:pPr>
    </w:lvl>
    <w:lvl w:ilvl="6" w:tplc="E9EC985E">
      <w:start w:val="1"/>
      <w:numFmt w:val="bullet"/>
      <w:lvlText w:val="●"/>
      <w:lvlJc w:val="left"/>
      <w:pPr>
        <w:ind w:left="5040" w:hanging="360"/>
      </w:pPr>
    </w:lvl>
    <w:lvl w:ilvl="7" w:tplc="E5D49B24">
      <w:start w:val="1"/>
      <w:numFmt w:val="bullet"/>
      <w:lvlText w:val="●"/>
      <w:lvlJc w:val="left"/>
      <w:pPr>
        <w:ind w:left="5760" w:hanging="360"/>
      </w:pPr>
    </w:lvl>
    <w:lvl w:ilvl="8" w:tplc="582CF77C">
      <w:start w:val="1"/>
      <w:numFmt w:val="bullet"/>
      <w:lvlText w:val="●"/>
      <w:lvlJc w:val="left"/>
      <w:pPr>
        <w:ind w:left="6480" w:hanging="360"/>
      </w:pPr>
    </w:lvl>
  </w:abstractNum>
  <w:num w:numId="1" w16cid:durableId="86186551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B2F"/>
    <w:rsid w:val="0007675E"/>
    <w:rsid w:val="00095213"/>
    <w:rsid w:val="002E04E5"/>
    <w:rsid w:val="00370ADC"/>
    <w:rsid w:val="00411342"/>
    <w:rsid w:val="00792357"/>
    <w:rsid w:val="00807B2F"/>
    <w:rsid w:val="008779ED"/>
    <w:rsid w:val="00915AE9"/>
    <w:rsid w:val="009326A0"/>
    <w:rsid w:val="00AE1744"/>
    <w:rsid w:val="00B0534B"/>
    <w:rsid w:val="00C116FD"/>
    <w:rsid w:val="00D6550D"/>
    <w:rsid w:val="00DD3762"/>
    <w:rsid w:val="00F2529F"/>
    <w:rsid w:val="00F71A86"/>
    <w:rsid w:val="00F9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6FCC39"/>
  <w15:docId w15:val="{F25A46B7-62C1-4A43-9807-A6CCCE70F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259</Words>
  <Characters>1559</Characters>
  <Application>Microsoft Office Word</Application>
  <DocSecurity>0</DocSecurity>
  <Lines>28</Lines>
  <Paragraphs>7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Steven Trawley</cp:lastModifiedBy>
  <cp:revision>16</cp:revision>
  <dcterms:created xsi:type="dcterms:W3CDTF">2026-03-13T03:06:00Z</dcterms:created>
  <dcterms:modified xsi:type="dcterms:W3CDTF">2026-03-15T18:36:00Z</dcterms:modified>
</cp:coreProperties>
</file>