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AE19" w14:textId="70BEDA15" w:rsidR="00E7046C" w:rsidRPr="00E7046C" w:rsidRDefault="00E7046C" w:rsidP="00E7046C">
      <w:pPr>
        <w:rPr>
          <w:rFonts w:ascii="Arial" w:hAnsi="Arial" w:cs="Arial"/>
          <w:b/>
          <w:bCs/>
        </w:rPr>
      </w:pPr>
      <w:r w:rsidRPr="00E7046C">
        <w:rPr>
          <w:rFonts w:ascii="Arial" w:hAnsi="Arial" w:cs="Arial"/>
          <w:b/>
          <w:bCs/>
        </w:rPr>
        <w:t>Mortality rates in heart transplant recipients with type 2 diabetes</w:t>
      </w:r>
    </w:p>
    <w:p w14:paraId="244BD4D2" w14:textId="77777777" w:rsidR="00BD707B" w:rsidRDefault="00BD707B" w:rsidP="008427FA">
      <w:pPr>
        <w:rPr>
          <w:rFonts w:ascii="Arial" w:hAnsi="Arial" w:cs="Arial"/>
          <w:i/>
          <w:iCs/>
        </w:rPr>
      </w:pPr>
    </w:p>
    <w:p w14:paraId="061526DB" w14:textId="22FD6958" w:rsidR="002722D0" w:rsidRPr="00E7046C" w:rsidRDefault="002722D0" w:rsidP="00CC4903">
      <w:pPr>
        <w:jc w:val="both"/>
        <w:rPr>
          <w:rFonts w:ascii="Arial" w:hAnsi="Arial" w:cs="Arial"/>
          <w:u w:val="single"/>
        </w:rPr>
      </w:pPr>
      <w:r w:rsidRPr="00E7046C">
        <w:rPr>
          <w:rFonts w:ascii="Arial" w:hAnsi="Arial" w:cs="Arial"/>
          <w:u w:val="single"/>
        </w:rPr>
        <w:t>Background</w:t>
      </w:r>
      <w:r w:rsidR="00A43021" w:rsidRPr="00E7046C">
        <w:rPr>
          <w:rFonts w:ascii="Arial" w:hAnsi="Arial" w:cs="Arial"/>
          <w:u w:val="single"/>
        </w:rPr>
        <w:t xml:space="preserve"> &amp; Aim</w:t>
      </w:r>
    </w:p>
    <w:p w14:paraId="6CC7C308" w14:textId="3CF17686" w:rsidR="00BD707B" w:rsidRDefault="00E5583E" w:rsidP="00CC49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Heart transplantation (HTx) is a lifesaving procedure for end-stage heart failure</w:t>
      </w:r>
      <w:r w:rsidR="0070308C">
        <w:rPr>
          <w:rFonts w:ascii="Arial" w:hAnsi="Arial" w:cs="Arial"/>
        </w:rPr>
        <w:t xml:space="preserve"> (HF)</w:t>
      </w:r>
      <w:r w:rsidR="00BA41E4">
        <w:rPr>
          <w:rFonts w:ascii="Arial" w:hAnsi="Arial" w:cs="Arial"/>
        </w:rPr>
        <w:t>.</w:t>
      </w:r>
      <w:r w:rsidR="007030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Australian five year HTx survival rates approximate 85%. Increasing</w:t>
      </w:r>
      <w:r w:rsidR="00F51F20">
        <w:rPr>
          <w:rFonts w:ascii="Arial" w:hAnsi="Arial" w:cs="Arial"/>
        </w:rPr>
        <w:t xml:space="preserve">ly, </w:t>
      </w:r>
      <w:r>
        <w:rPr>
          <w:rFonts w:ascii="Arial" w:hAnsi="Arial" w:cs="Arial"/>
        </w:rPr>
        <w:t>people</w:t>
      </w:r>
      <w:r w:rsidR="002722D0">
        <w:rPr>
          <w:rFonts w:ascii="Arial" w:hAnsi="Arial" w:cs="Arial"/>
        </w:rPr>
        <w:t xml:space="preserve"> with </w:t>
      </w:r>
      <w:r w:rsidR="0070308C">
        <w:rPr>
          <w:rFonts w:ascii="Arial" w:hAnsi="Arial" w:cs="Arial"/>
        </w:rPr>
        <w:t>type 2 diabetes (</w:t>
      </w:r>
      <w:r w:rsidR="002722D0">
        <w:rPr>
          <w:rFonts w:ascii="Arial" w:hAnsi="Arial" w:cs="Arial"/>
        </w:rPr>
        <w:t>T2DM</w:t>
      </w:r>
      <w:r w:rsidR="0070308C">
        <w:rPr>
          <w:rFonts w:ascii="Arial" w:hAnsi="Arial" w:cs="Arial"/>
        </w:rPr>
        <w:t>)</w:t>
      </w:r>
      <w:r w:rsidR="002722D0">
        <w:rPr>
          <w:rFonts w:ascii="Arial" w:hAnsi="Arial" w:cs="Arial"/>
        </w:rPr>
        <w:t xml:space="preserve"> will </w:t>
      </w:r>
      <w:r w:rsidR="0070308C">
        <w:rPr>
          <w:rFonts w:ascii="Arial" w:hAnsi="Arial" w:cs="Arial"/>
        </w:rPr>
        <w:t xml:space="preserve">develop HF and </w:t>
      </w:r>
      <w:r w:rsidR="002722D0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assessed for HTx. The presence of T2DM in HTx recipients is associated with increased mortality; however, there is limited data characterising pre-transplant factors</w:t>
      </w:r>
      <w:r w:rsidR="00BA41E4">
        <w:rPr>
          <w:rFonts w:ascii="Arial" w:hAnsi="Arial" w:cs="Arial"/>
        </w:rPr>
        <w:t xml:space="preserve"> that contribute</w:t>
      </w:r>
      <w:r w:rsidR="00F51F20">
        <w:rPr>
          <w:rFonts w:ascii="Arial" w:hAnsi="Arial" w:cs="Arial"/>
        </w:rPr>
        <w:t xml:space="preserve"> to excess mortality risk</w:t>
      </w:r>
      <w:r>
        <w:rPr>
          <w:rFonts w:ascii="Arial" w:hAnsi="Arial" w:cs="Arial"/>
        </w:rPr>
        <w:t>.</w:t>
      </w:r>
      <w:r w:rsidR="00A43021">
        <w:rPr>
          <w:rFonts w:ascii="Arial" w:hAnsi="Arial" w:cs="Arial"/>
        </w:rPr>
        <w:t xml:space="preserve"> </w:t>
      </w:r>
      <w:r w:rsidR="00BA41E4">
        <w:rPr>
          <w:rFonts w:ascii="Arial" w:hAnsi="Arial" w:cs="Arial"/>
        </w:rPr>
        <w:t>We</w:t>
      </w:r>
      <w:r w:rsidR="00BD707B">
        <w:rPr>
          <w:rFonts w:ascii="Arial" w:hAnsi="Arial" w:cs="Arial"/>
        </w:rPr>
        <w:t xml:space="preserve"> assess</w:t>
      </w:r>
      <w:r w:rsidR="00BA41E4">
        <w:rPr>
          <w:rFonts w:ascii="Arial" w:hAnsi="Arial" w:cs="Arial"/>
        </w:rPr>
        <w:t>ed</w:t>
      </w:r>
      <w:r w:rsidR="00BD707B">
        <w:rPr>
          <w:rFonts w:ascii="Arial" w:hAnsi="Arial" w:cs="Arial"/>
        </w:rPr>
        <w:t xml:space="preserve"> </w:t>
      </w:r>
      <w:r w:rsidR="00F51F20">
        <w:rPr>
          <w:rFonts w:ascii="Arial" w:hAnsi="Arial" w:cs="Arial"/>
        </w:rPr>
        <w:t>pre</w:t>
      </w:r>
      <w:r w:rsidR="00EA6544">
        <w:rPr>
          <w:rFonts w:ascii="Arial" w:hAnsi="Arial" w:cs="Arial"/>
        </w:rPr>
        <w:t>-</w:t>
      </w:r>
      <w:r w:rsidR="00F51F20">
        <w:rPr>
          <w:rFonts w:ascii="Arial" w:hAnsi="Arial" w:cs="Arial"/>
        </w:rPr>
        <w:t xml:space="preserve">transplant factors associated with </w:t>
      </w:r>
      <w:r w:rsidR="00BD707B">
        <w:rPr>
          <w:rFonts w:ascii="Arial" w:hAnsi="Arial" w:cs="Arial"/>
        </w:rPr>
        <w:t>mortality rate</w:t>
      </w:r>
      <w:r>
        <w:rPr>
          <w:rFonts w:ascii="Arial" w:hAnsi="Arial" w:cs="Arial"/>
        </w:rPr>
        <w:t xml:space="preserve"> </w:t>
      </w:r>
      <w:r w:rsidR="00BD707B"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HTx</w:t>
      </w:r>
      <w:proofErr w:type="spellEnd"/>
      <w:r w:rsidR="00BD707B">
        <w:rPr>
          <w:rFonts w:ascii="Arial" w:hAnsi="Arial" w:cs="Arial"/>
        </w:rPr>
        <w:t xml:space="preserve"> recipients with T2DM</w:t>
      </w:r>
      <w:r>
        <w:rPr>
          <w:rFonts w:ascii="Arial" w:hAnsi="Arial" w:cs="Arial"/>
        </w:rPr>
        <w:t>.</w:t>
      </w:r>
    </w:p>
    <w:p w14:paraId="46E5CF87" w14:textId="77777777" w:rsidR="00BD707B" w:rsidRPr="00BD707B" w:rsidRDefault="00BD707B" w:rsidP="00CC4903">
      <w:pPr>
        <w:jc w:val="both"/>
        <w:rPr>
          <w:rFonts w:ascii="Arial" w:hAnsi="Arial" w:cs="Arial"/>
        </w:rPr>
      </w:pPr>
    </w:p>
    <w:p w14:paraId="5E7A9116" w14:textId="3079E5D1" w:rsidR="00BD707B" w:rsidRPr="00E7046C" w:rsidRDefault="00BD707B" w:rsidP="00CC4903">
      <w:pPr>
        <w:jc w:val="both"/>
        <w:rPr>
          <w:rFonts w:ascii="Arial" w:hAnsi="Arial" w:cs="Arial"/>
          <w:u w:val="single"/>
        </w:rPr>
      </w:pPr>
      <w:r w:rsidRPr="00E7046C">
        <w:rPr>
          <w:rFonts w:ascii="Arial" w:hAnsi="Arial" w:cs="Arial"/>
          <w:u w:val="single"/>
        </w:rPr>
        <w:t xml:space="preserve">Methods </w:t>
      </w:r>
    </w:p>
    <w:p w14:paraId="5436D8DD" w14:textId="6A87D172" w:rsidR="00BD707B" w:rsidRPr="00BD707B" w:rsidRDefault="00BD707B" w:rsidP="00CC49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Single centre retrospective audit of people with T2DM who </w:t>
      </w:r>
      <w:r w:rsidR="0070308C">
        <w:rPr>
          <w:rFonts w:ascii="Arial" w:hAnsi="Arial" w:cs="Arial"/>
        </w:rPr>
        <w:t>underwent</w:t>
      </w:r>
      <w:r>
        <w:rPr>
          <w:rFonts w:ascii="Arial" w:hAnsi="Arial" w:cs="Arial"/>
        </w:rPr>
        <w:t xml:space="preserve"> </w:t>
      </w:r>
      <w:r w:rsidR="00E5583E">
        <w:rPr>
          <w:rFonts w:ascii="Arial" w:hAnsi="Arial" w:cs="Arial"/>
        </w:rPr>
        <w:t>HTx</w:t>
      </w:r>
      <w:r>
        <w:rPr>
          <w:rFonts w:ascii="Arial" w:hAnsi="Arial" w:cs="Arial"/>
        </w:rPr>
        <w:t xml:space="preserve"> between 2015 to 2022</w:t>
      </w:r>
      <w:r w:rsidR="00C47F13">
        <w:rPr>
          <w:rFonts w:ascii="Arial" w:hAnsi="Arial" w:cs="Arial"/>
        </w:rPr>
        <w:t>.</w:t>
      </w:r>
    </w:p>
    <w:p w14:paraId="13C41163" w14:textId="04D5CCDC" w:rsidR="00BD707B" w:rsidRPr="00BD707B" w:rsidRDefault="00BD707B" w:rsidP="00CC4903">
      <w:pPr>
        <w:jc w:val="both"/>
        <w:rPr>
          <w:rFonts w:ascii="Arial" w:hAnsi="Arial" w:cs="Arial"/>
        </w:rPr>
      </w:pPr>
    </w:p>
    <w:p w14:paraId="0B245AA5" w14:textId="39EE92AA" w:rsidR="002722D0" w:rsidRPr="00E7046C" w:rsidRDefault="00BD707B" w:rsidP="00CC4903">
      <w:pPr>
        <w:jc w:val="both"/>
        <w:rPr>
          <w:rFonts w:ascii="Arial" w:hAnsi="Arial" w:cs="Arial"/>
          <w:u w:val="single"/>
        </w:rPr>
      </w:pPr>
      <w:r w:rsidRPr="00E7046C">
        <w:rPr>
          <w:rFonts w:ascii="Arial" w:hAnsi="Arial" w:cs="Arial"/>
          <w:u w:val="single"/>
        </w:rPr>
        <w:t>Results</w:t>
      </w:r>
    </w:p>
    <w:p w14:paraId="6622E80D" w14:textId="69F5A861" w:rsidR="00123A76" w:rsidRDefault="001468AA" w:rsidP="00CC49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were 74 </w:t>
      </w:r>
      <w:r w:rsidR="0070308C">
        <w:rPr>
          <w:rFonts w:ascii="Arial" w:hAnsi="Arial" w:cs="Arial"/>
        </w:rPr>
        <w:t>HTx</w:t>
      </w:r>
      <w:r>
        <w:rPr>
          <w:rFonts w:ascii="Arial" w:hAnsi="Arial" w:cs="Arial"/>
        </w:rPr>
        <w:t xml:space="preserve"> recipients with T2DM.</w:t>
      </w:r>
      <w:r w:rsidR="002722D0">
        <w:rPr>
          <w:rFonts w:ascii="Arial" w:hAnsi="Arial" w:cs="Arial"/>
        </w:rPr>
        <w:t xml:space="preserve"> The mortality rate </w:t>
      </w:r>
      <w:r w:rsidR="00F51F20">
        <w:rPr>
          <w:rFonts w:ascii="Arial" w:hAnsi="Arial" w:cs="Arial"/>
        </w:rPr>
        <w:t>during</w:t>
      </w:r>
      <w:r w:rsidR="002722D0">
        <w:rPr>
          <w:rFonts w:ascii="Arial" w:hAnsi="Arial" w:cs="Arial"/>
        </w:rPr>
        <w:t xml:space="preserve"> follow</w:t>
      </w:r>
      <w:r w:rsidR="00E5583E">
        <w:rPr>
          <w:rFonts w:ascii="Arial" w:hAnsi="Arial" w:cs="Arial"/>
        </w:rPr>
        <w:t>-</w:t>
      </w:r>
      <w:r w:rsidR="002722D0">
        <w:rPr>
          <w:rFonts w:ascii="Arial" w:hAnsi="Arial" w:cs="Arial"/>
        </w:rPr>
        <w:t xml:space="preserve">up </w:t>
      </w:r>
      <w:r w:rsidR="00F51F20">
        <w:rPr>
          <w:rFonts w:ascii="Arial" w:hAnsi="Arial" w:cs="Arial"/>
        </w:rPr>
        <w:t xml:space="preserve">(up to 5-years) </w:t>
      </w:r>
      <w:r w:rsidR="002722D0">
        <w:rPr>
          <w:rFonts w:ascii="Arial" w:hAnsi="Arial" w:cs="Arial"/>
        </w:rPr>
        <w:t>was 32% (n=24)</w:t>
      </w:r>
      <w:r w:rsidR="00BA41E4">
        <w:rPr>
          <w:rFonts w:ascii="Arial" w:hAnsi="Arial" w:cs="Arial"/>
        </w:rPr>
        <w:t>, with</w:t>
      </w:r>
      <w:r w:rsidR="002722D0">
        <w:rPr>
          <w:rFonts w:ascii="Arial" w:hAnsi="Arial" w:cs="Arial"/>
        </w:rPr>
        <w:t xml:space="preserve"> </w:t>
      </w:r>
      <w:r w:rsidR="007D65CF">
        <w:rPr>
          <w:rFonts w:ascii="Arial" w:hAnsi="Arial" w:cs="Arial"/>
        </w:rPr>
        <w:t>m</w:t>
      </w:r>
      <w:r w:rsidR="00123A76">
        <w:rPr>
          <w:rFonts w:ascii="Arial" w:hAnsi="Arial" w:cs="Arial"/>
        </w:rPr>
        <w:t xml:space="preserve">edian time to death </w:t>
      </w:r>
      <w:r w:rsidR="00BA41E4">
        <w:rPr>
          <w:rFonts w:ascii="Arial" w:hAnsi="Arial" w:cs="Arial"/>
        </w:rPr>
        <w:t xml:space="preserve">of </w:t>
      </w:r>
      <w:r w:rsidR="00123A76">
        <w:rPr>
          <w:rFonts w:ascii="Arial" w:hAnsi="Arial" w:cs="Arial"/>
        </w:rPr>
        <w:t xml:space="preserve">1.8 years (IQR 0.5 – 3.1). </w:t>
      </w:r>
      <w:r w:rsidR="00A43021">
        <w:rPr>
          <w:rFonts w:ascii="Arial" w:hAnsi="Arial" w:cs="Arial"/>
        </w:rPr>
        <w:t>Baseline age, sex, body mass index</w:t>
      </w:r>
      <w:r w:rsidR="0070308C">
        <w:rPr>
          <w:rFonts w:ascii="Arial" w:hAnsi="Arial" w:cs="Arial"/>
        </w:rPr>
        <w:t xml:space="preserve"> (BMI)</w:t>
      </w:r>
      <w:r w:rsidR="007D65CF">
        <w:rPr>
          <w:rFonts w:ascii="Arial" w:hAnsi="Arial" w:cs="Arial"/>
        </w:rPr>
        <w:t xml:space="preserve">, </w:t>
      </w:r>
      <w:r w:rsidR="00A43021">
        <w:rPr>
          <w:rFonts w:ascii="Arial" w:hAnsi="Arial" w:cs="Arial"/>
        </w:rPr>
        <w:t>glycated haemoglobin</w:t>
      </w:r>
      <w:r w:rsidR="0070308C">
        <w:rPr>
          <w:rFonts w:ascii="Arial" w:hAnsi="Arial" w:cs="Arial"/>
        </w:rPr>
        <w:t xml:space="preserve"> (HbA1c)</w:t>
      </w:r>
      <w:r w:rsidR="007D65CF">
        <w:rPr>
          <w:rFonts w:ascii="Arial" w:hAnsi="Arial" w:cs="Arial"/>
        </w:rPr>
        <w:t xml:space="preserve"> and estimated glomerular filtration (eGFR)</w:t>
      </w:r>
      <w:r w:rsidR="00A43021">
        <w:rPr>
          <w:rFonts w:ascii="Arial" w:hAnsi="Arial" w:cs="Arial"/>
        </w:rPr>
        <w:t xml:space="preserve"> did not differ based on mortality outcome (Table). Sodium glucose co-transporter 2 </w:t>
      </w:r>
      <w:r w:rsidR="0070308C">
        <w:rPr>
          <w:rFonts w:ascii="Arial" w:hAnsi="Arial" w:cs="Arial"/>
        </w:rPr>
        <w:t xml:space="preserve">(SGLT2) </w:t>
      </w:r>
      <w:r w:rsidR="00A43021">
        <w:rPr>
          <w:rFonts w:ascii="Arial" w:hAnsi="Arial" w:cs="Arial"/>
        </w:rPr>
        <w:t xml:space="preserve">inhibitor exposure (n=27, 54%) was more common in the </w:t>
      </w:r>
      <w:r w:rsidR="00BA41E4">
        <w:rPr>
          <w:rFonts w:ascii="Arial" w:hAnsi="Arial" w:cs="Arial"/>
        </w:rPr>
        <w:t>‘</w:t>
      </w:r>
      <w:r w:rsidR="00A43021">
        <w:rPr>
          <w:rFonts w:ascii="Arial" w:hAnsi="Arial" w:cs="Arial"/>
        </w:rPr>
        <w:t>survival cohort</w:t>
      </w:r>
      <w:r w:rsidR="00BA41E4">
        <w:rPr>
          <w:rFonts w:ascii="Arial" w:hAnsi="Arial" w:cs="Arial"/>
        </w:rPr>
        <w:t>’</w:t>
      </w:r>
      <w:r w:rsidR="00A43021">
        <w:rPr>
          <w:rFonts w:ascii="Arial" w:hAnsi="Arial" w:cs="Arial"/>
        </w:rPr>
        <w:t xml:space="preserve"> than in the </w:t>
      </w:r>
      <w:r w:rsidR="00BA41E4">
        <w:rPr>
          <w:rFonts w:ascii="Arial" w:hAnsi="Arial" w:cs="Arial"/>
        </w:rPr>
        <w:t>‘</w:t>
      </w:r>
      <w:r w:rsidR="00A43021">
        <w:rPr>
          <w:rFonts w:ascii="Arial" w:hAnsi="Arial" w:cs="Arial"/>
        </w:rPr>
        <w:t>mortality cohort</w:t>
      </w:r>
      <w:r w:rsidR="00BA41E4">
        <w:rPr>
          <w:rFonts w:ascii="Arial" w:hAnsi="Arial" w:cs="Arial"/>
        </w:rPr>
        <w:t>’</w:t>
      </w:r>
      <w:r w:rsidR="00A43021">
        <w:rPr>
          <w:rFonts w:ascii="Arial" w:hAnsi="Arial" w:cs="Arial"/>
        </w:rPr>
        <w:t xml:space="preserve"> (n=6, 25%</w:t>
      </w:r>
      <w:r w:rsidR="00BA41E4">
        <w:rPr>
          <w:rFonts w:ascii="Arial" w:hAnsi="Arial" w:cs="Arial"/>
        </w:rPr>
        <w:t xml:space="preserve">; </w:t>
      </w:r>
      <w:r w:rsidR="00A43021">
        <w:rPr>
          <w:rFonts w:ascii="Arial" w:hAnsi="Arial" w:cs="Arial"/>
        </w:rPr>
        <w:t>p=0.03</w:t>
      </w:r>
      <w:r w:rsidR="00BA41E4">
        <w:rPr>
          <w:rFonts w:ascii="Arial" w:hAnsi="Arial" w:cs="Arial"/>
        </w:rPr>
        <w:t>)</w:t>
      </w:r>
      <w:r w:rsidR="00A43021">
        <w:rPr>
          <w:rFonts w:ascii="Arial" w:hAnsi="Arial" w:cs="Arial"/>
        </w:rPr>
        <w:t xml:space="preserve">. </w:t>
      </w:r>
      <w:r w:rsidR="007D65CF">
        <w:rPr>
          <w:rFonts w:ascii="Arial" w:hAnsi="Arial" w:cs="Arial"/>
        </w:rPr>
        <w:t xml:space="preserve">On cox regression, none of the previously listed factors were associated with mortality. </w:t>
      </w:r>
    </w:p>
    <w:p w14:paraId="781F4724" w14:textId="77777777" w:rsidR="0070308C" w:rsidRDefault="0070308C" w:rsidP="00CC4903">
      <w:pPr>
        <w:jc w:val="both"/>
        <w:rPr>
          <w:rFonts w:ascii="Arial" w:hAnsi="Arial" w:cs="Arial"/>
        </w:rPr>
      </w:pPr>
    </w:p>
    <w:p w14:paraId="6CDF4645" w14:textId="10498EBF" w:rsidR="0070308C" w:rsidRDefault="0070308C" w:rsidP="00CC4903">
      <w:pPr>
        <w:jc w:val="both"/>
        <w:rPr>
          <w:rFonts w:ascii="Arial" w:hAnsi="Arial" w:cs="Arial"/>
        </w:rPr>
      </w:pPr>
      <w:r w:rsidRPr="0070308C">
        <w:rPr>
          <w:rFonts w:ascii="Arial" w:hAnsi="Arial" w:cs="Arial"/>
        </w:rPr>
        <w:t>Table:</w:t>
      </w:r>
      <w:r w:rsidR="00BA41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Baseline characteristics in</w:t>
      </w:r>
      <w:r w:rsidRPr="007030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70308C">
        <w:rPr>
          <w:rFonts w:ascii="Arial" w:hAnsi="Arial" w:cs="Arial"/>
        </w:rPr>
        <w:t>eart transplant recipients with type 2 diabetes</w:t>
      </w:r>
    </w:p>
    <w:p w14:paraId="73FB1142" w14:textId="77777777" w:rsidR="00BA41E4" w:rsidRDefault="00BA41E4" w:rsidP="008427F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1366"/>
      </w:tblGrid>
      <w:tr w:rsidR="00123A76" w14:paraId="5A7A8D61" w14:textId="4F967B5D" w:rsidTr="00CC4903">
        <w:tc>
          <w:tcPr>
            <w:tcW w:w="2547" w:type="dxa"/>
          </w:tcPr>
          <w:p w14:paraId="5D565D7B" w14:textId="46EF5DE5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Characteristics </w:t>
            </w:r>
          </w:p>
        </w:tc>
        <w:tc>
          <w:tcPr>
            <w:tcW w:w="2551" w:type="dxa"/>
          </w:tcPr>
          <w:p w14:paraId="554D0FF3" w14:textId="5EA1D97D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Survival </w:t>
            </w:r>
            <w:r w:rsidR="00BA41E4">
              <w:rPr>
                <w:rFonts w:ascii="Arial" w:hAnsi="Arial" w:cs="Arial"/>
              </w:rPr>
              <w:t xml:space="preserve">cohort </w:t>
            </w:r>
            <w:r>
              <w:rPr>
                <w:rFonts w:ascii="Arial" w:hAnsi="Arial" w:cs="Arial"/>
              </w:rPr>
              <w:t>(n=50)</w:t>
            </w:r>
          </w:p>
        </w:tc>
        <w:tc>
          <w:tcPr>
            <w:tcW w:w="2552" w:type="dxa"/>
          </w:tcPr>
          <w:p w14:paraId="0869B612" w14:textId="1624E7DB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Mortality </w:t>
            </w:r>
            <w:r w:rsidR="00BA41E4">
              <w:rPr>
                <w:rFonts w:ascii="Arial" w:hAnsi="Arial" w:cs="Arial"/>
              </w:rPr>
              <w:t xml:space="preserve">cohort </w:t>
            </w:r>
            <w:r>
              <w:rPr>
                <w:rFonts w:ascii="Arial" w:hAnsi="Arial" w:cs="Arial"/>
              </w:rPr>
              <w:t>(n=24)</w:t>
            </w:r>
          </w:p>
        </w:tc>
        <w:tc>
          <w:tcPr>
            <w:tcW w:w="1366" w:type="dxa"/>
          </w:tcPr>
          <w:p w14:paraId="5B076EF5" w14:textId="727EB0AF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p-value</w:t>
            </w:r>
          </w:p>
        </w:tc>
      </w:tr>
      <w:tr w:rsidR="00123A76" w14:paraId="6880DB16" w14:textId="4738947B" w:rsidTr="00CC4903">
        <w:tc>
          <w:tcPr>
            <w:tcW w:w="2547" w:type="dxa"/>
          </w:tcPr>
          <w:p w14:paraId="2A8EAEF6" w14:textId="721F8767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(years)</w:t>
            </w:r>
          </w:p>
        </w:tc>
        <w:tc>
          <w:tcPr>
            <w:tcW w:w="2551" w:type="dxa"/>
          </w:tcPr>
          <w:p w14:paraId="3EDADC59" w14:textId="02743D4E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(53-65)</w:t>
            </w:r>
          </w:p>
        </w:tc>
        <w:tc>
          <w:tcPr>
            <w:tcW w:w="2552" w:type="dxa"/>
          </w:tcPr>
          <w:p w14:paraId="6D441906" w14:textId="342553A4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 (50-64)</w:t>
            </w:r>
          </w:p>
        </w:tc>
        <w:tc>
          <w:tcPr>
            <w:tcW w:w="1366" w:type="dxa"/>
          </w:tcPr>
          <w:p w14:paraId="60A5069A" w14:textId="186A5863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0.31</w:t>
            </w:r>
          </w:p>
        </w:tc>
      </w:tr>
      <w:tr w:rsidR="00123A76" w14:paraId="7B3B5FBD" w14:textId="35FB2C92" w:rsidTr="00CC4903">
        <w:tc>
          <w:tcPr>
            <w:tcW w:w="2547" w:type="dxa"/>
          </w:tcPr>
          <w:p w14:paraId="3261C804" w14:textId="2130B108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(male)</w:t>
            </w:r>
          </w:p>
        </w:tc>
        <w:tc>
          <w:tcPr>
            <w:tcW w:w="2551" w:type="dxa"/>
          </w:tcPr>
          <w:p w14:paraId="6C42FFF1" w14:textId="478D4023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 (86)</w:t>
            </w:r>
          </w:p>
        </w:tc>
        <w:tc>
          <w:tcPr>
            <w:tcW w:w="2552" w:type="dxa"/>
          </w:tcPr>
          <w:p w14:paraId="6161AD1F" w14:textId="090AEEFD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(79)</w:t>
            </w:r>
          </w:p>
        </w:tc>
        <w:tc>
          <w:tcPr>
            <w:tcW w:w="1366" w:type="dxa"/>
          </w:tcPr>
          <w:p w14:paraId="7FE9A2B8" w14:textId="148A3085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0.51</w:t>
            </w:r>
          </w:p>
        </w:tc>
      </w:tr>
      <w:tr w:rsidR="00123A76" w14:paraId="408F8190" w14:textId="41146A33" w:rsidTr="00CC4903">
        <w:tc>
          <w:tcPr>
            <w:tcW w:w="2547" w:type="dxa"/>
          </w:tcPr>
          <w:p w14:paraId="2FD4E1ED" w14:textId="37220F7A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 (kg/m</w:t>
            </w:r>
            <w:r w:rsidRPr="00123A76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14EC1C23" w14:textId="25BCBE73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26.7 (22.9-30.2)</w:t>
            </w:r>
          </w:p>
        </w:tc>
        <w:tc>
          <w:tcPr>
            <w:tcW w:w="2552" w:type="dxa"/>
          </w:tcPr>
          <w:p w14:paraId="410038CA" w14:textId="166FCBF9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29.2 (25.6-31.3)</w:t>
            </w:r>
          </w:p>
        </w:tc>
        <w:tc>
          <w:tcPr>
            <w:tcW w:w="1366" w:type="dxa"/>
          </w:tcPr>
          <w:p w14:paraId="473AFC05" w14:textId="3C08193E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0.18</w:t>
            </w:r>
          </w:p>
        </w:tc>
      </w:tr>
      <w:tr w:rsidR="00123A76" w14:paraId="7CC0AC4D" w14:textId="3CE32F52" w:rsidTr="00CC4903">
        <w:tc>
          <w:tcPr>
            <w:tcW w:w="2547" w:type="dxa"/>
          </w:tcPr>
          <w:p w14:paraId="5C6A4588" w14:textId="13148232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HbA1c (%)</w:t>
            </w:r>
          </w:p>
        </w:tc>
        <w:tc>
          <w:tcPr>
            <w:tcW w:w="2551" w:type="dxa"/>
          </w:tcPr>
          <w:p w14:paraId="73FA5289" w14:textId="6032234B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 (6.4-7.6)</w:t>
            </w:r>
          </w:p>
        </w:tc>
        <w:tc>
          <w:tcPr>
            <w:tcW w:w="2552" w:type="dxa"/>
          </w:tcPr>
          <w:p w14:paraId="653D53B1" w14:textId="296A86A8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 (5.8-7.7)</w:t>
            </w:r>
          </w:p>
        </w:tc>
        <w:tc>
          <w:tcPr>
            <w:tcW w:w="1366" w:type="dxa"/>
          </w:tcPr>
          <w:p w14:paraId="729B3F04" w14:textId="09B46C2C" w:rsidR="00123A76" w:rsidRDefault="00123A76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0.27</w:t>
            </w:r>
          </w:p>
        </w:tc>
      </w:tr>
      <w:tr w:rsidR="007D65CF" w14:paraId="488B4407" w14:textId="77777777" w:rsidTr="00CC4903">
        <w:tc>
          <w:tcPr>
            <w:tcW w:w="2547" w:type="dxa"/>
          </w:tcPr>
          <w:p w14:paraId="43DCBD9A" w14:textId="2BBE1F74" w:rsidR="007D65CF" w:rsidRDefault="007D65CF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eGFR (mL/min/1.73m</w:t>
            </w:r>
            <w:r w:rsidRPr="007D65CF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0662A330" w14:textId="575C2433" w:rsidR="007D65CF" w:rsidRDefault="007D65CF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 (46-80)</w:t>
            </w:r>
          </w:p>
        </w:tc>
        <w:tc>
          <w:tcPr>
            <w:tcW w:w="2552" w:type="dxa"/>
          </w:tcPr>
          <w:p w14:paraId="111B2954" w14:textId="1D2B026E" w:rsidR="007D65CF" w:rsidRDefault="007D65CF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(38-74)</w:t>
            </w:r>
          </w:p>
        </w:tc>
        <w:tc>
          <w:tcPr>
            <w:tcW w:w="1366" w:type="dxa"/>
          </w:tcPr>
          <w:p w14:paraId="5A0D3A87" w14:textId="6D03728C" w:rsidR="007D65CF" w:rsidRDefault="007D65CF" w:rsidP="0084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0.45</w:t>
            </w:r>
          </w:p>
        </w:tc>
      </w:tr>
    </w:tbl>
    <w:p w14:paraId="50E6484C" w14:textId="77777777" w:rsidR="00E5583E" w:rsidRPr="00BD707B" w:rsidRDefault="00E5583E" w:rsidP="008427FA">
      <w:pPr>
        <w:rPr>
          <w:rFonts w:ascii="Arial" w:hAnsi="Arial" w:cs="Arial"/>
        </w:rPr>
      </w:pPr>
    </w:p>
    <w:p w14:paraId="1A88F43E" w14:textId="70A1BB47" w:rsidR="00BD707B" w:rsidRPr="00E7046C" w:rsidRDefault="00BD707B" w:rsidP="00CC4903">
      <w:pPr>
        <w:jc w:val="both"/>
        <w:rPr>
          <w:rFonts w:ascii="Arial" w:hAnsi="Arial" w:cs="Arial"/>
          <w:u w:val="single"/>
        </w:rPr>
      </w:pPr>
      <w:r w:rsidRPr="00E7046C">
        <w:rPr>
          <w:rFonts w:ascii="Arial" w:hAnsi="Arial" w:cs="Arial"/>
          <w:u w:val="single"/>
        </w:rPr>
        <w:t>Conclusion</w:t>
      </w:r>
    </w:p>
    <w:p w14:paraId="484FA34F" w14:textId="2CF3A1EB" w:rsidR="00830A4D" w:rsidRPr="007244F0" w:rsidRDefault="005E4ED8" w:rsidP="00C34FF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HTx</w:t>
      </w:r>
      <w:proofErr w:type="spellEnd"/>
      <w:r>
        <w:rPr>
          <w:rFonts w:ascii="Arial" w:hAnsi="Arial" w:cs="Arial"/>
        </w:rPr>
        <w:t xml:space="preserve"> recipients with T2DM h</w:t>
      </w:r>
      <w:r w:rsidR="00E7046C"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 higher 5-year mortality than Australian registry data.</w:t>
      </w:r>
      <w:r w:rsidR="0070308C">
        <w:rPr>
          <w:rFonts w:ascii="Arial" w:hAnsi="Arial" w:cs="Arial"/>
        </w:rPr>
        <w:t xml:space="preserve"> There was no association between demographic factors and mortality. SGLT2 inhibitors may be associated with increased survival</w:t>
      </w:r>
      <w:r w:rsidR="00BA41E4">
        <w:rPr>
          <w:rFonts w:ascii="Arial" w:hAnsi="Arial" w:cs="Arial"/>
        </w:rPr>
        <w:t>. However,</w:t>
      </w:r>
      <w:r w:rsidR="0070308C">
        <w:rPr>
          <w:rFonts w:ascii="Arial" w:hAnsi="Arial" w:cs="Arial"/>
        </w:rPr>
        <w:t xml:space="preserve"> prospective studies are required. </w:t>
      </w: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FA"/>
    <w:rsid w:val="00123A76"/>
    <w:rsid w:val="001468AA"/>
    <w:rsid w:val="002722D0"/>
    <w:rsid w:val="0028124D"/>
    <w:rsid w:val="00297DD4"/>
    <w:rsid w:val="00376B39"/>
    <w:rsid w:val="004E09DD"/>
    <w:rsid w:val="005E4ED8"/>
    <w:rsid w:val="006F7CCF"/>
    <w:rsid w:val="0070308C"/>
    <w:rsid w:val="007244F0"/>
    <w:rsid w:val="007D65CF"/>
    <w:rsid w:val="00830A4D"/>
    <w:rsid w:val="008427FA"/>
    <w:rsid w:val="008953CF"/>
    <w:rsid w:val="009A582D"/>
    <w:rsid w:val="009D79DB"/>
    <w:rsid w:val="00A43021"/>
    <w:rsid w:val="00A85759"/>
    <w:rsid w:val="00BA41E4"/>
    <w:rsid w:val="00BC73E4"/>
    <w:rsid w:val="00BD707B"/>
    <w:rsid w:val="00C34FFF"/>
    <w:rsid w:val="00C47F13"/>
    <w:rsid w:val="00CC4903"/>
    <w:rsid w:val="00CE3AA2"/>
    <w:rsid w:val="00D56368"/>
    <w:rsid w:val="00DD0D64"/>
    <w:rsid w:val="00E5583E"/>
    <w:rsid w:val="00E7046C"/>
    <w:rsid w:val="00EA6544"/>
    <w:rsid w:val="00F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41E4"/>
  </w:style>
  <w:style w:type="paragraph" w:styleId="BalloonText">
    <w:name w:val="Balloon Text"/>
    <w:basedOn w:val="Normal"/>
    <w:link w:val="BalloonTextChar"/>
    <w:uiPriority w:val="99"/>
    <w:semiHidden/>
    <w:unhideWhenUsed/>
    <w:rsid w:val="00F51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Lisa Raven</cp:lastModifiedBy>
  <cp:revision>5</cp:revision>
  <dcterms:created xsi:type="dcterms:W3CDTF">2025-05-19T06:33:00Z</dcterms:created>
  <dcterms:modified xsi:type="dcterms:W3CDTF">2025-05-19T06:35:00Z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