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2A7E2F7F" w:rsidR="006D4713" w:rsidRPr="0076071A" w:rsidRDefault="0076071A" w:rsidP="007607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C9C">
              <w:rPr>
                <w:rFonts w:ascii="Arial" w:hAnsi="Arial" w:cs="Arial"/>
                <w:sz w:val="22"/>
                <w:szCs w:val="22"/>
              </w:rPr>
              <w:t>Decline of Unfolded Protein Response with Age Increases Susceptibility to Infection and Inflammation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184F70D4" w:rsidR="006D4713" w:rsidRPr="0076071A" w:rsidRDefault="0076071A" w:rsidP="007607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C9C">
              <w:rPr>
                <w:rFonts w:ascii="Arial" w:hAnsi="Arial" w:cs="Arial"/>
                <w:sz w:val="22"/>
                <w:szCs w:val="22"/>
              </w:rPr>
              <w:t>Thishan Illankoon</w:t>
            </w:r>
            <w:r w:rsidRPr="00D82C9C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2C9C">
              <w:rPr>
                <w:rFonts w:ascii="Arial" w:hAnsi="Arial" w:cs="Arial"/>
                <w:sz w:val="22"/>
                <w:szCs w:val="22"/>
              </w:rPr>
              <w:t>, Alexandra Mueller</w:t>
            </w:r>
            <w:r w:rsidRPr="00D82C9C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2C9C">
              <w:rPr>
                <w:rFonts w:ascii="Arial" w:hAnsi="Arial" w:cs="Arial"/>
                <w:sz w:val="22"/>
                <w:szCs w:val="22"/>
              </w:rPr>
              <w:t>, Haressh Sajiir</w:t>
            </w:r>
            <w:r w:rsidRPr="00D82C9C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2C9C">
              <w:rPr>
                <w:rFonts w:ascii="Arial" w:hAnsi="Arial" w:cs="Arial"/>
                <w:sz w:val="22"/>
                <w:szCs w:val="22"/>
              </w:rPr>
              <w:t>, Kuan Yau Wong</w:t>
            </w:r>
            <w:r w:rsidRPr="00D82C9C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2C9C">
              <w:rPr>
                <w:rFonts w:ascii="Arial" w:hAnsi="Arial" w:cs="Arial"/>
                <w:sz w:val="22"/>
                <w:szCs w:val="22"/>
              </w:rPr>
              <w:t>, Sumaira Z. Hasnain</w:t>
            </w:r>
            <w:r w:rsidRPr="00D82C9C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090DDD1" w14:textId="4BA6BB2E" w:rsidR="0076071A" w:rsidRPr="00D82C9C" w:rsidRDefault="0076071A" w:rsidP="0076071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071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1.</w:t>
            </w:r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Translational Research Institute – Mater Research Institute, Brisbane, </w:t>
            </w:r>
            <w:proofErr w:type="gramStart"/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>Australia;</w:t>
            </w:r>
            <w:proofErr w:type="gramEnd"/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09A9EF4" w14:textId="06CD0B44" w:rsidR="0076071A" w:rsidRPr="00D82C9C" w:rsidRDefault="0076071A" w:rsidP="0076071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071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76071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.</w:t>
            </w:r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University of Queensland, Faculty of Medicine, Brisbane, </w:t>
            </w:r>
            <w:proofErr w:type="gramStart"/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>Australia;</w:t>
            </w:r>
            <w:proofErr w:type="gramEnd"/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C99DC74" w14:textId="77777777" w:rsidR="006D4713" w:rsidRDefault="0076071A" w:rsidP="0076071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071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3.</w:t>
            </w:r>
            <w:r w:rsidRPr="00D82C9C">
              <w:rPr>
                <w:rFonts w:ascii="Arial" w:hAnsi="Arial" w:cs="Arial"/>
                <w:i/>
                <w:iCs/>
                <w:sz w:val="22"/>
                <w:szCs w:val="22"/>
              </w:rPr>
              <w:t>Princess Alexandra Hospital, Brisbane, Australia.</w:t>
            </w:r>
          </w:p>
          <w:p w14:paraId="6C68AC87" w14:textId="71676028" w:rsidR="0076071A" w:rsidRPr="0076071A" w:rsidRDefault="0076071A" w:rsidP="0076071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D4713" w:rsidRPr="0050053A" w14:paraId="6C68ACA3" w14:textId="77777777" w:rsidTr="00C91C8C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6C68AC89" w14:textId="77777777" w:rsidR="006D4713" w:rsidRPr="0050053A" w:rsidRDefault="00752808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6C68AC8C" w14:textId="22E17966" w:rsidR="006D4713" w:rsidRPr="0076071A" w:rsidRDefault="0076071A" w:rsidP="009C1987">
            <w:pPr>
              <w:pStyle w:val="Pa12"/>
              <w:rPr>
                <w:rStyle w:val="A4"/>
                <w:color w:val="auto"/>
              </w:rPr>
            </w:pPr>
            <w:r w:rsidRPr="00D82C9C">
              <w:rPr>
                <w:sz w:val="22"/>
                <w:szCs w:val="22"/>
              </w:rPr>
              <w:t>Protein misfolding in the E</w:t>
            </w:r>
            <w:r>
              <w:rPr>
                <w:sz w:val="22"/>
                <w:szCs w:val="22"/>
              </w:rPr>
              <w:t>ndoplasmic Reticulum (ER)</w:t>
            </w:r>
            <w:r w:rsidRPr="00D82C9C">
              <w:rPr>
                <w:sz w:val="22"/>
                <w:szCs w:val="22"/>
              </w:rPr>
              <w:t xml:space="preserve"> can be induced by various endogenous and exogenous triggers, leading to the formation of insoluble protein aggregates. This disrupts protein homeostasis and causes cellular stress, which </w:t>
            </w:r>
            <w:r>
              <w:rPr>
                <w:sz w:val="22"/>
                <w:szCs w:val="22"/>
              </w:rPr>
              <w:t>i</w:t>
            </w:r>
            <w:r w:rsidRPr="00D82C9C">
              <w:rPr>
                <w:sz w:val="22"/>
                <w:szCs w:val="22"/>
              </w:rPr>
              <w:t>f either acutely severe or chronically unresolved, can result in cell death. Consequently, eukaryotic cells have evolved a regulatory network termed the unfolded protein response (UPR) that mediates protein folding to uphold homeostasis.</w:t>
            </w:r>
            <w:r w:rsidR="006D4713">
              <w:rPr>
                <w:sz w:val="22"/>
                <w:szCs w:val="22"/>
              </w:rPr>
              <w:br/>
            </w:r>
          </w:p>
          <w:p w14:paraId="6C68AC8D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6C68AC90" w14:textId="40FFBD7B" w:rsidR="006D4713" w:rsidRPr="0076071A" w:rsidRDefault="0076071A" w:rsidP="009C198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We aim</w:t>
            </w:r>
            <w:r w:rsidRPr="00D82C9C">
              <w:rPr>
                <w:sz w:val="22"/>
                <w:szCs w:val="22"/>
              </w:rPr>
              <w:t xml:space="preserve"> to identify whether this age-related senescence of the UPR at lung mucosal sites</w:t>
            </w:r>
            <w:r>
              <w:rPr>
                <w:sz w:val="22"/>
                <w:szCs w:val="22"/>
              </w:rPr>
              <w:t xml:space="preserve"> </w:t>
            </w:r>
            <w:r w:rsidRPr="00D82C9C">
              <w:rPr>
                <w:sz w:val="22"/>
                <w:szCs w:val="22"/>
              </w:rPr>
              <w:t xml:space="preserve">is a contributing factor to the increase in respiratory infection and severity reported in aged individuals. </w:t>
            </w:r>
            <w:r>
              <w:rPr>
                <w:sz w:val="22"/>
                <w:szCs w:val="22"/>
              </w:rPr>
              <w:t>Using</w:t>
            </w:r>
            <w:r w:rsidRPr="00D82C9C">
              <w:rPr>
                <w:sz w:val="22"/>
                <w:szCs w:val="22"/>
              </w:rPr>
              <w:t xml:space="preserve"> respiratory biobank biopsy samples from healthy individuals across a wide age range (20-30 to &gt;65 years old), </w:t>
            </w:r>
            <w:r>
              <w:rPr>
                <w:sz w:val="22"/>
                <w:szCs w:val="22"/>
              </w:rPr>
              <w:t xml:space="preserve">we will </w:t>
            </w:r>
            <w:r w:rsidRPr="00D82C9C">
              <w:rPr>
                <w:sz w:val="22"/>
                <w:szCs w:val="22"/>
              </w:rPr>
              <w:t xml:space="preserve">perform qPCR, </w:t>
            </w:r>
            <w:proofErr w:type="spellStart"/>
            <w:r w:rsidRPr="00D82C9C">
              <w:rPr>
                <w:sz w:val="22"/>
                <w:szCs w:val="22"/>
              </w:rPr>
              <w:t>RNAseq</w:t>
            </w:r>
            <w:proofErr w:type="spellEnd"/>
            <w:r w:rsidRPr="00D82C9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metabolic assessments, </w:t>
            </w:r>
            <w:r w:rsidRPr="00D82C9C">
              <w:rPr>
                <w:sz w:val="22"/>
                <w:szCs w:val="22"/>
              </w:rPr>
              <w:t xml:space="preserve">histological techniques, and </w:t>
            </w:r>
            <w:r>
              <w:rPr>
                <w:sz w:val="22"/>
                <w:szCs w:val="22"/>
              </w:rPr>
              <w:t xml:space="preserve">explore </w:t>
            </w:r>
            <w:r w:rsidRPr="00D82C9C">
              <w:rPr>
                <w:sz w:val="22"/>
                <w:szCs w:val="22"/>
              </w:rPr>
              <w:t>epigenetic markers</w:t>
            </w:r>
            <w:r>
              <w:rPr>
                <w:sz w:val="22"/>
                <w:szCs w:val="22"/>
              </w:rPr>
              <w:t xml:space="preserve">. In order to identify changes in aspects of the UPR with age, which will be confirmed </w:t>
            </w:r>
            <w:r w:rsidRPr="00D82C9C">
              <w:rPr>
                <w:sz w:val="22"/>
                <w:szCs w:val="22"/>
              </w:rPr>
              <w:t>using</w:t>
            </w:r>
            <w:r>
              <w:rPr>
                <w:sz w:val="22"/>
                <w:szCs w:val="22"/>
              </w:rPr>
              <w:t xml:space="preserve"> primary murine and human respiratory</w:t>
            </w:r>
            <w:r w:rsidRPr="00D82C9C">
              <w:rPr>
                <w:sz w:val="22"/>
                <w:szCs w:val="22"/>
              </w:rPr>
              <w:t xml:space="preserve"> organoids.</w:t>
            </w:r>
            <w:r w:rsidR="006D4713">
              <w:rPr>
                <w:sz w:val="22"/>
                <w:szCs w:val="22"/>
              </w:rPr>
              <w:br/>
            </w:r>
          </w:p>
          <w:p w14:paraId="6C68AC91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271AC8FA" w14:textId="77777777" w:rsidR="0076071A" w:rsidRDefault="0076071A" w:rsidP="007607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D82C9C">
              <w:rPr>
                <w:rFonts w:ascii="Arial" w:hAnsi="Arial" w:cs="Arial"/>
                <w:sz w:val="22"/>
                <w:szCs w:val="22"/>
              </w:rPr>
              <w:t>sing qPCR in mouse organoids of varying ages</w:t>
            </w:r>
            <w:r>
              <w:rPr>
                <w:rFonts w:ascii="Arial" w:hAnsi="Arial" w:cs="Arial"/>
                <w:sz w:val="22"/>
                <w:szCs w:val="22"/>
              </w:rPr>
              <w:t xml:space="preserve"> (6, 12, 19, 24 weeks old), we identified</w:t>
            </w:r>
            <w:r w:rsidRPr="00D82C9C">
              <w:rPr>
                <w:rFonts w:ascii="Arial" w:hAnsi="Arial" w:cs="Arial"/>
                <w:sz w:val="22"/>
                <w:szCs w:val="22"/>
              </w:rPr>
              <w:t xml:space="preserve"> that GRP78 and XBP1 both decline with age, whereas CHOP and IRE1 increase. Additionally, there was a reduction in </w:t>
            </w:r>
            <w:proofErr w:type="spellStart"/>
            <w:r w:rsidRPr="00D82C9C">
              <w:rPr>
                <w:rFonts w:ascii="Arial" w:hAnsi="Arial" w:cs="Arial"/>
                <w:sz w:val="22"/>
                <w:szCs w:val="22"/>
              </w:rPr>
              <w:t>autophagasome</w:t>
            </w:r>
            <w:proofErr w:type="spellEnd"/>
            <w:r w:rsidRPr="00D82C9C">
              <w:rPr>
                <w:rFonts w:ascii="Arial" w:hAnsi="Arial" w:cs="Arial"/>
                <w:sz w:val="22"/>
                <w:szCs w:val="22"/>
              </w:rPr>
              <w:t xml:space="preserve"> 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D82C9C">
              <w:rPr>
                <w:rFonts w:ascii="Arial" w:hAnsi="Arial" w:cs="Arial"/>
                <w:sz w:val="22"/>
                <w:szCs w:val="22"/>
              </w:rPr>
              <w:t>LC3 expression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aging</w:t>
            </w:r>
            <w:r w:rsidRPr="00D82C9C">
              <w:rPr>
                <w:rFonts w:ascii="Arial" w:hAnsi="Arial" w:cs="Arial"/>
                <w:sz w:val="22"/>
                <w:szCs w:val="22"/>
              </w:rPr>
              <w:t xml:space="preserve">. Indicating a shift in the UPR with age to favour apoptosis over homeostasis recovery, with impaired autophagy action. </w:t>
            </w:r>
          </w:p>
          <w:p w14:paraId="6C68AC94" w14:textId="21EBABE2" w:rsidR="006D4713" w:rsidRPr="0076071A" w:rsidRDefault="006D4713" w:rsidP="009C1987">
            <w:pPr>
              <w:pStyle w:val="Pa12"/>
              <w:rPr>
                <w:rStyle w:val="A4"/>
                <w:color w:val="auto"/>
              </w:rPr>
            </w:pPr>
          </w:p>
          <w:p w14:paraId="6C68AC95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D9BF318" w14:textId="77777777" w:rsidR="0076071A" w:rsidRDefault="0076071A" w:rsidP="006D4713">
            <w:pPr>
              <w:pStyle w:val="Pa12"/>
              <w:rPr>
                <w:sz w:val="22"/>
                <w:szCs w:val="22"/>
              </w:rPr>
            </w:pPr>
            <w:r w:rsidRPr="00D82C9C">
              <w:rPr>
                <w:sz w:val="22"/>
                <w:szCs w:val="22"/>
              </w:rPr>
              <w:t>This suggests a</w:t>
            </w:r>
            <w:r>
              <w:rPr>
                <w:sz w:val="22"/>
                <w:szCs w:val="22"/>
              </w:rPr>
              <w:t xml:space="preserve">n age-related impairment and </w:t>
            </w:r>
            <w:r w:rsidRPr="00D82C9C">
              <w:rPr>
                <w:sz w:val="22"/>
                <w:szCs w:val="22"/>
              </w:rPr>
              <w:t xml:space="preserve">decline in appropriate UPR, potentially causing the increase in infection susceptibility </w:t>
            </w:r>
            <w:r>
              <w:rPr>
                <w:sz w:val="22"/>
                <w:szCs w:val="22"/>
              </w:rPr>
              <w:t xml:space="preserve">and severity </w:t>
            </w:r>
            <w:r w:rsidRPr="00D82C9C">
              <w:rPr>
                <w:sz w:val="22"/>
                <w:szCs w:val="22"/>
              </w:rPr>
              <w:t>with age</w:t>
            </w:r>
            <w:r>
              <w:rPr>
                <w:sz w:val="22"/>
                <w:szCs w:val="22"/>
              </w:rPr>
              <w:t>.</w:t>
            </w:r>
          </w:p>
          <w:p w14:paraId="64474200" w14:textId="77777777" w:rsidR="0076071A" w:rsidRDefault="0076071A" w:rsidP="006D4713">
            <w:pPr>
              <w:pStyle w:val="Pa12"/>
              <w:rPr>
                <w:sz w:val="22"/>
                <w:szCs w:val="22"/>
              </w:rPr>
            </w:pPr>
          </w:p>
          <w:p w14:paraId="6C68AC96" w14:textId="12C9D6EF" w:rsidR="006D4713" w:rsidRPr="0050053A" w:rsidRDefault="006D4713" w:rsidP="006D471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6C68AC97" w14:textId="77777777" w:rsidR="006D4713" w:rsidRPr="0050053A" w:rsidRDefault="006D4713" w:rsidP="009C1987">
            <w:pPr>
              <w:pStyle w:val="Pa12"/>
              <w:rPr>
                <w:sz w:val="22"/>
                <w:szCs w:val="22"/>
              </w:rPr>
            </w:pPr>
          </w:p>
          <w:p w14:paraId="6C68AC98" w14:textId="77777777" w:rsidR="006D4713" w:rsidRPr="0050053A" w:rsidRDefault="00C91C8C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6C68AC99" w14:textId="77777777" w:rsidR="006D4713" w:rsidRPr="0050053A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</w:p>
          <w:p w14:paraId="6C68AC9A" w14:textId="77777777" w:rsidR="006D4713" w:rsidRPr="0050053A" w:rsidRDefault="00C91C8C" w:rsidP="009C1987">
            <w:pPr>
              <w:pStyle w:val="Default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Nomination for </w:t>
            </w:r>
            <w:r w:rsidR="00361F7E">
              <w:rPr>
                <w:rStyle w:val="A4"/>
                <w:b/>
                <w:bCs/>
              </w:rPr>
              <w:t xml:space="preserve">New </w:t>
            </w:r>
            <w:r w:rsidR="006D4713" w:rsidRPr="0050053A">
              <w:rPr>
                <w:rStyle w:val="A4"/>
                <w:b/>
                <w:bCs/>
              </w:rPr>
              <w:t>Investigator Award</w:t>
            </w:r>
          </w:p>
          <w:p w14:paraId="6C68AC9B" w14:textId="77777777" w:rsidR="006D4713" w:rsidRPr="0050053A" w:rsidRDefault="00C91C8C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6C68AC9C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2B4988"/>
    <w:rsid w:val="00323005"/>
    <w:rsid w:val="00361F7E"/>
    <w:rsid w:val="003F0690"/>
    <w:rsid w:val="00487EC0"/>
    <w:rsid w:val="005B3C80"/>
    <w:rsid w:val="006438E9"/>
    <w:rsid w:val="006D4713"/>
    <w:rsid w:val="00752808"/>
    <w:rsid w:val="0076071A"/>
    <w:rsid w:val="007E1D1D"/>
    <w:rsid w:val="009656B9"/>
    <w:rsid w:val="00A337CA"/>
    <w:rsid w:val="00C91C8C"/>
    <w:rsid w:val="00D02B65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Thishan Illankoon</cp:lastModifiedBy>
  <cp:revision>2</cp:revision>
  <dcterms:created xsi:type="dcterms:W3CDTF">2023-10-18T09:38:00Z</dcterms:created>
  <dcterms:modified xsi:type="dcterms:W3CDTF">2023-10-18T09:38:00Z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