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B576" w14:textId="4617D735" w:rsidR="000B1280" w:rsidRPr="00CE70C8" w:rsidRDefault="000A08FE" w:rsidP="00DC77EF">
      <w:pPr>
        <w:jc w:val="left"/>
        <w:rPr>
          <w:rFonts w:ascii="Arial" w:hAnsi="Arial" w:cs="Arial"/>
          <w:b/>
          <w:bCs/>
          <w:color w:val="000000" w:themeColor="text1"/>
          <w:sz w:val="22"/>
        </w:rPr>
      </w:pPr>
      <w:r w:rsidRPr="00CE70C8">
        <w:rPr>
          <w:rFonts w:ascii="Arial" w:hAnsi="Arial" w:cs="Arial"/>
          <w:b/>
          <w:bCs/>
          <w:color w:val="000000" w:themeColor="text1"/>
          <w:sz w:val="22"/>
        </w:rPr>
        <w:t>Serum bile acid response to an oral glucose load</w:t>
      </w:r>
      <w:r w:rsidR="00BA79E8" w:rsidRPr="00CE70C8">
        <w:rPr>
          <w:rFonts w:ascii="Arial" w:hAnsi="Arial" w:cs="Arial"/>
          <w:b/>
          <w:bCs/>
          <w:color w:val="000000" w:themeColor="text1"/>
          <w:sz w:val="22"/>
        </w:rPr>
        <w:t xml:space="preserve"> </w:t>
      </w:r>
      <w:r w:rsidR="00B045BF" w:rsidRPr="00CE70C8">
        <w:rPr>
          <w:rFonts w:ascii="Arial" w:hAnsi="Arial" w:cs="Arial"/>
          <w:b/>
          <w:bCs/>
          <w:color w:val="000000" w:themeColor="text1"/>
          <w:sz w:val="22"/>
        </w:rPr>
        <w:t xml:space="preserve">is </w:t>
      </w:r>
      <w:r w:rsidR="00387EA5" w:rsidRPr="00CE70C8">
        <w:rPr>
          <w:rFonts w:ascii="Arial" w:hAnsi="Arial" w:cs="Arial"/>
          <w:b/>
          <w:bCs/>
          <w:color w:val="000000" w:themeColor="text1"/>
          <w:sz w:val="22"/>
        </w:rPr>
        <w:t>exaggerated</w:t>
      </w:r>
      <w:r w:rsidR="00387EA5" w:rsidRPr="00CE70C8" w:rsidDel="00387EA5">
        <w:rPr>
          <w:rFonts w:ascii="Arial" w:hAnsi="Arial" w:cs="Arial"/>
          <w:b/>
          <w:bCs/>
          <w:color w:val="000000" w:themeColor="text1"/>
          <w:sz w:val="22"/>
        </w:rPr>
        <w:t xml:space="preserve"> </w:t>
      </w:r>
      <w:r w:rsidR="000E21B3" w:rsidRPr="00CE70C8">
        <w:rPr>
          <w:rFonts w:ascii="Arial" w:hAnsi="Arial" w:cs="Arial"/>
          <w:b/>
          <w:bCs/>
          <w:color w:val="000000" w:themeColor="text1"/>
          <w:sz w:val="22"/>
        </w:rPr>
        <w:t>i</w:t>
      </w:r>
      <w:r w:rsidR="00BA79E8" w:rsidRPr="00CE70C8">
        <w:rPr>
          <w:rFonts w:ascii="Arial" w:hAnsi="Arial" w:cs="Arial"/>
          <w:b/>
          <w:bCs/>
          <w:color w:val="000000" w:themeColor="text1"/>
          <w:sz w:val="22"/>
        </w:rPr>
        <w:t xml:space="preserve">n </w:t>
      </w:r>
      <w:r w:rsidR="00A466FF" w:rsidRPr="00CE70C8">
        <w:rPr>
          <w:rFonts w:ascii="Arial" w:hAnsi="Arial" w:cs="Arial"/>
          <w:b/>
          <w:bCs/>
          <w:color w:val="000000" w:themeColor="text1"/>
          <w:sz w:val="22"/>
        </w:rPr>
        <w:t xml:space="preserve">newly diagnosed, treatment-naive, Chinese with </w:t>
      </w:r>
      <w:r w:rsidR="001F4073" w:rsidRPr="00CE70C8">
        <w:rPr>
          <w:rFonts w:ascii="Arial" w:hAnsi="Arial" w:cs="Arial"/>
          <w:b/>
          <w:bCs/>
          <w:color w:val="000000" w:themeColor="text1"/>
          <w:sz w:val="22"/>
        </w:rPr>
        <w:t>type 2 diabetes</w:t>
      </w:r>
      <w:r w:rsidRPr="00CE70C8">
        <w:rPr>
          <w:rFonts w:ascii="Arial" w:hAnsi="Arial" w:cs="Arial"/>
          <w:b/>
          <w:bCs/>
          <w:color w:val="000000" w:themeColor="text1"/>
          <w:sz w:val="22"/>
        </w:rPr>
        <w:t xml:space="preserve"> and</w:t>
      </w:r>
      <w:r w:rsidR="00D14B94" w:rsidRPr="00CE70C8">
        <w:rPr>
          <w:rFonts w:ascii="Arial" w:hAnsi="Arial" w:cs="Arial"/>
          <w:b/>
          <w:bCs/>
          <w:color w:val="000000" w:themeColor="text1"/>
          <w:sz w:val="22"/>
        </w:rPr>
        <w:t xml:space="preserve"> </w:t>
      </w:r>
      <w:r w:rsidR="000E21B3" w:rsidRPr="00CE70C8">
        <w:rPr>
          <w:rFonts w:ascii="Arial" w:hAnsi="Arial" w:cs="Arial"/>
          <w:b/>
          <w:bCs/>
          <w:color w:val="000000" w:themeColor="text1"/>
          <w:sz w:val="22"/>
        </w:rPr>
        <w:t>reduced by</w:t>
      </w:r>
      <w:r w:rsidRPr="00CE70C8">
        <w:rPr>
          <w:rFonts w:ascii="Arial" w:hAnsi="Arial" w:cs="Arial"/>
          <w:b/>
          <w:bCs/>
          <w:color w:val="000000" w:themeColor="text1"/>
          <w:sz w:val="22"/>
        </w:rPr>
        <w:t xml:space="preserve"> insulin-pump therapy</w:t>
      </w:r>
    </w:p>
    <w:p w14:paraId="5346869B" w14:textId="77777777" w:rsidR="00A434A1" w:rsidRPr="00CE70C8" w:rsidRDefault="00A434A1" w:rsidP="00DC77EF">
      <w:pPr>
        <w:jc w:val="left"/>
        <w:rPr>
          <w:rFonts w:ascii="Arial" w:hAnsi="Arial" w:cs="Arial"/>
          <w:b/>
          <w:bCs/>
          <w:color w:val="000000" w:themeColor="text1"/>
          <w:sz w:val="22"/>
          <w:lang w:val="en-GB"/>
        </w:rPr>
      </w:pPr>
    </w:p>
    <w:p w14:paraId="70A71E36" w14:textId="77777777" w:rsidR="00FC5A5E" w:rsidRPr="00CE70C8" w:rsidRDefault="00FC5A5E" w:rsidP="00DC77EF">
      <w:pPr>
        <w:jc w:val="left"/>
        <w:rPr>
          <w:rFonts w:ascii="Arial" w:hAnsi="Arial" w:cs="Arial"/>
          <w:b/>
          <w:bCs/>
          <w:color w:val="000000" w:themeColor="text1"/>
          <w:sz w:val="22"/>
          <w:lang w:val="en-GB"/>
        </w:rPr>
      </w:pPr>
      <w:r w:rsidRPr="00CE70C8">
        <w:rPr>
          <w:rFonts w:ascii="Arial" w:hAnsi="Arial" w:cs="Arial"/>
          <w:b/>
          <w:bCs/>
          <w:color w:val="000000" w:themeColor="text1"/>
          <w:sz w:val="22"/>
          <w:lang w:val="en-GB"/>
        </w:rPr>
        <w:t>Abstract</w:t>
      </w:r>
    </w:p>
    <w:p w14:paraId="20703C41" w14:textId="5753B959" w:rsidR="00E16517" w:rsidRPr="00CE70C8" w:rsidRDefault="00CE70C8" w:rsidP="00DC77EF">
      <w:pPr>
        <w:jc w:val="left"/>
        <w:rPr>
          <w:rFonts w:ascii="Arial" w:hAnsi="Arial" w:cs="Arial"/>
          <w:sz w:val="22"/>
          <w:lang w:val="en-GB"/>
        </w:rPr>
      </w:pPr>
      <w:r w:rsidRPr="00CE70C8">
        <w:rPr>
          <w:rFonts w:ascii="Arial" w:hAnsi="Arial" w:cs="Arial"/>
          <w:b/>
          <w:bCs/>
          <w:color w:val="000000" w:themeColor="text1"/>
          <w:sz w:val="22"/>
          <w:lang w:val="en-GB"/>
        </w:rPr>
        <w:t>A</w:t>
      </w:r>
      <w:r w:rsidR="00FC5A5E" w:rsidRPr="00CE70C8">
        <w:rPr>
          <w:rFonts w:ascii="Arial" w:hAnsi="Arial" w:cs="Arial"/>
          <w:b/>
          <w:bCs/>
          <w:color w:val="000000" w:themeColor="text1"/>
          <w:sz w:val="22"/>
          <w:lang w:val="en-GB"/>
        </w:rPr>
        <w:t xml:space="preserve">ims: </w:t>
      </w:r>
      <w:r w:rsidR="002D1ED9">
        <w:rPr>
          <w:rFonts w:ascii="Arial" w:hAnsi="Arial" w:cs="Arial"/>
          <w:sz w:val="22"/>
        </w:rPr>
        <w:t>While</w:t>
      </w:r>
      <w:r w:rsidR="000A08FE" w:rsidRPr="00CE70C8">
        <w:rPr>
          <w:rFonts w:ascii="Arial" w:hAnsi="Arial" w:cs="Arial"/>
          <w:sz w:val="22"/>
        </w:rPr>
        <w:t xml:space="preserve"> </w:t>
      </w:r>
      <w:proofErr w:type="spellStart"/>
      <w:r w:rsidR="000A08FE" w:rsidRPr="00CE70C8">
        <w:rPr>
          <w:rFonts w:ascii="Arial" w:hAnsi="Arial" w:cs="Arial"/>
          <w:sz w:val="22"/>
        </w:rPr>
        <w:t>recognised</w:t>
      </w:r>
      <w:proofErr w:type="spellEnd"/>
      <w:r w:rsidR="000A08FE" w:rsidRPr="00CE70C8">
        <w:rPr>
          <w:rFonts w:ascii="Arial" w:hAnsi="Arial" w:cs="Arial"/>
          <w:sz w:val="22"/>
        </w:rPr>
        <w:t xml:space="preserve"> </w:t>
      </w:r>
      <w:r w:rsidR="00B02682" w:rsidRPr="00CE70C8">
        <w:rPr>
          <w:rFonts w:ascii="Arial" w:hAnsi="Arial" w:cs="Arial"/>
          <w:sz w:val="22"/>
        </w:rPr>
        <w:t xml:space="preserve">as </w:t>
      </w:r>
      <w:r w:rsidR="000A08FE" w:rsidRPr="00CE70C8">
        <w:rPr>
          <w:rFonts w:ascii="Arial" w:hAnsi="Arial" w:cs="Arial"/>
          <w:sz w:val="22"/>
        </w:rPr>
        <w:t xml:space="preserve">pivotal </w:t>
      </w:r>
      <w:r w:rsidR="002D1ED9">
        <w:rPr>
          <w:rFonts w:ascii="Arial" w:hAnsi="Arial" w:cs="Arial"/>
          <w:sz w:val="22"/>
        </w:rPr>
        <w:t>metabolic regulators</w:t>
      </w:r>
      <w:r w:rsidR="008D37BF" w:rsidRPr="00CE70C8">
        <w:rPr>
          <w:rFonts w:ascii="Arial" w:hAnsi="Arial" w:cs="Arial"/>
          <w:sz w:val="22"/>
          <w:lang w:val="en-GB"/>
        </w:rPr>
        <w:t xml:space="preserve">, </w:t>
      </w:r>
      <w:r w:rsidR="002D1ED9">
        <w:rPr>
          <w:rFonts w:ascii="Arial" w:hAnsi="Arial" w:cs="Arial"/>
          <w:sz w:val="22"/>
        </w:rPr>
        <w:t>circulating</w:t>
      </w:r>
      <w:r w:rsidR="008D37BF" w:rsidRPr="00CE70C8">
        <w:rPr>
          <w:rFonts w:ascii="Arial" w:hAnsi="Arial" w:cs="Arial"/>
          <w:sz w:val="22"/>
        </w:rPr>
        <w:t xml:space="preserve"> </w:t>
      </w:r>
      <w:r w:rsidR="002D1ED9">
        <w:rPr>
          <w:rFonts w:ascii="Arial" w:hAnsi="Arial" w:cs="Arial"/>
          <w:sz w:val="22"/>
        </w:rPr>
        <w:t>bile acid (</w:t>
      </w:r>
      <w:r w:rsidR="008D37BF" w:rsidRPr="00CE70C8">
        <w:rPr>
          <w:rFonts w:ascii="Arial" w:hAnsi="Arial" w:cs="Arial"/>
          <w:sz w:val="22"/>
        </w:rPr>
        <w:t>BA</w:t>
      </w:r>
      <w:r w:rsidR="002D1ED9">
        <w:rPr>
          <w:rFonts w:ascii="Arial" w:hAnsi="Arial" w:cs="Arial"/>
          <w:sz w:val="22"/>
        </w:rPr>
        <w:t>)</w:t>
      </w:r>
      <w:r w:rsidR="008D37BF" w:rsidRPr="00CE70C8">
        <w:rPr>
          <w:rFonts w:ascii="Arial" w:hAnsi="Arial" w:cs="Arial"/>
          <w:sz w:val="22"/>
        </w:rPr>
        <w:t xml:space="preserve"> dynamics </w:t>
      </w:r>
      <w:r w:rsidR="00D216D9" w:rsidRPr="00CE70C8">
        <w:rPr>
          <w:rFonts w:ascii="Arial" w:hAnsi="Arial" w:cs="Arial"/>
          <w:sz w:val="22"/>
        </w:rPr>
        <w:t xml:space="preserve">following a nutrient load </w:t>
      </w:r>
      <w:r w:rsidR="008D37BF" w:rsidRPr="00CE70C8">
        <w:rPr>
          <w:rFonts w:ascii="Arial" w:hAnsi="Arial" w:cs="Arial"/>
          <w:sz w:val="22"/>
        </w:rPr>
        <w:t xml:space="preserve">in type 2 diabetes (T2D) </w:t>
      </w:r>
      <w:r w:rsidR="002D1ED9">
        <w:rPr>
          <w:rFonts w:ascii="Arial" w:hAnsi="Arial" w:cs="Arial"/>
          <w:sz w:val="22"/>
        </w:rPr>
        <w:t>remain</w:t>
      </w:r>
      <w:r w:rsidR="002D1ED9" w:rsidRPr="00CE70C8">
        <w:rPr>
          <w:rFonts w:ascii="Arial" w:hAnsi="Arial" w:cs="Arial"/>
          <w:sz w:val="22"/>
        </w:rPr>
        <w:t xml:space="preserve"> </w:t>
      </w:r>
      <w:r w:rsidR="00B434DF" w:rsidRPr="00CE70C8">
        <w:rPr>
          <w:rFonts w:ascii="Arial" w:hAnsi="Arial" w:cs="Arial"/>
          <w:sz w:val="22"/>
        </w:rPr>
        <w:t xml:space="preserve">poorly </w:t>
      </w:r>
      <w:proofErr w:type="spellStart"/>
      <w:r w:rsidR="00B434DF" w:rsidRPr="00CE70C8">
        <w:rPr>
          <w:rFonts w:ascii="Arial" w:hAnsi="Arial" w:cs="Arial"/>
          <w:sz w:val="22"/>
        </w:rPr>
        <w:t>characterised</w:t>
      </w:r>
      <w:proofErr w:type="spellEnd"/>
      <w:r w:rsidR="008D37BF" w:rsidRPr="00CE70C8">
        <w:rPr>
          <w:rFonts w:ascii="Arial" w:hAnsi="Arial" w:cs="Arial"/>
          <w:sz w:val="22"/>
        </w:rPr>
        <w:t>.</w:t>
      </w:r>
      <w:r w:rsidR="009745C7" w:rsidRPr="00CE70C8">
        <w:rPr>
          <w:rFonts w:ascii="Arial" w:hAnsi="Arial" w:cs="Arial"/>
          <w:color w:val="000000" w:themeColor="text1"/>
          <w:sz w:val="22"/>
        </w:rPr>
        <w:t xml:space="preserve"> </w:t>
      </w:r>
      <w:r w:rsidR="00615DEC" w:rsidRPr="00CE70C8">
        <w:rPr>
          <w:rFonts w:ascii="Arial" w:hAnsi="Arial" w:cs="Arial"/>
          <w:color w:val="000000" w:themeColor="text1"/>
          <w:sz w:val="22"/>
          <w:lang w:val="en-GB"/>
        </w:rPr>
        <w:t>This s</w:t>
      </w:r>
      <w:r w:rsidR="005C4EC5" w:rsidRPr="00CE70C8">
        <w:rPr>
          <w:rFonts w:ascii="Arial" w:hAnsi="Arial" w:cs="Arial"/>
          <w:color w:val="000000" w:themeColor="text1"/>
          <w:sz w:val="22"/>
          <w:lang w:val="en-GB"/>
        </w:rPr>
        <w:t xml:space="preserve">tudy </w:t>
      </w:r>
      <w:r w:rsidR="00D216D9" w:rsidRPr="00CE70C8">
        <w:rPr>
          <w:rFonts w:ascii="Arial" w:hAnsi="Arial" w:cs="Arial"/>
          <w:color w:val="000000" w:themeColor="text1"/>
          <w:sz w:val="22"/>
          <w:lang w:val="en-GB"/>
        </w:rPr>
        <w:t>evaluated</w:t>
      </w:r>
      <w:r w:rsidR="00757F4D" w:rsidRPr="00CE70C8">
        <w:rPr>
          <w:rFonts w:ascii="Arial" w:hAnsi="Arial" w:cs="Arial"/>
          <w:color w:val="000000" w:themeColor="text1"/>
          <w:sz w:val="22"/>
        </w:rPr>
        <w:t xml:space="preserve"> </w:t>
      </w:r>
      <w:r w:rsidR="00B434DF" w:rsidRPr="00CE70C8">
        <w:rPr>
          <w:rFonts w:ascii="Arial" w:hAnsi="Arial" w:cs="Arial"/>
          <w:color w:val="000000" w:themeColor="text1"/>
          <w:sz w:val="22"/>
        </w:rPr>
        <w:t xml:space="preserve">serum </w:t>
      </w:r>
      <w:r w:rsidR="00757F4D" w:rsidRPr="00CE70C8">
        <w:rPr>
          <w:rFonts w:ascii="Arial" w:hAnsi="Arial" w:cs="Arial"/>
          <w:color w:val="000000" w:themeColor="text1"/>
          <w:sz w:val="22"/>
        </w:rPr>
        <w:t xml:space="preserve">BA response to a 75g glucose </w:t>
      </w:r>
      <w:r w:rsidR="00551739">
        <w:rPr>
          <w:rFonts w:ascii="Arial" w:hAnsi="Arial" w:cs="Arial"/>
          <w:color w:val="000000" w:themeColor="text1"/>
          <w:sz w:val="22"/>
        </w:rPr>
        <w:t>drink</w:t>
      </w:r>
      <w:r w:rsidR="00551739" w:rsidRPr="00CE70C8">
        <w:rPr>
          <w:rFonts w:ascii="Arial" w:hAnsi="Arial" w:cs="Arial"/>
          <w:color w:val="000000" w:themeColor="text1"/>
          <w:sz w:val="22"/>
        </w:rPr>
        <w:t xml:space="preserve"> </w:t>
      </w:r>
      <w:r w:rsidR="00D216D9" w:rsidRPr="00CE70C8">
        <w:rPr>
          <w:rFonts w:ascii="Arial" w:hAnsi="Arial" w:cs="Arial"/>
          <w:color w:val="000000" w:themeColor="text1"/>
          <w:sz w:val="22"/>
        </w:rPr>
        <w:t xml:space="preserve">in </w:t>
      </w:r>
      <w:r w:rsidR="00E21729" w:rsidRPr="00CE70C8">
        <w:rPr>
          <w:rFonts w:ascii="Arial" w:hAnsi="Arial" w:cs="Arial"/>
          <w:color w:val="000000" w:themeColor="text1"/>
          <w:sz w:val="22"/>
        </w:rPr>
        <w:t xml:space="preserve">Han Chinese with </w:t>
      </w:r>
      <w:proofErr w:type="gramStart"/>
      <w:r w:rsidR="00757F4D" w:rsidRPr="00CE70C8">
        <w:rPr>
          <w:rFonts w:ascii="Arial" w:hAnsi="Arial" w:cs="Arial"/>
          <w:color w:val="000000" w:themeColor="text1"/>
          <w:sz w:val="22"/>
        </w:rPr>
        <w:t>newly</w:t>
      </w:r>
      <w:r w:rsidR="002D1ED9">
        <w:rPr>
          <w:rFonts w:ascii="Arial" w:hAnsi="Arial" w:cs="Arial"/>
          <w:color w:val="000000" w:themeColor="text1"/>
          <w:sz w:val="22"/>
        </w:rPr>
        <w:t>-</w:t>
      </w:r>
      <w:r w:rsidR="00757F4D" w:rsidRPr="00CE70C8">
        <w:rPr>
          <w:rFonts w:ascii="Arial" w:hAnsi="Arial" w:cs="Arial"/>
          <w:color w:val="000000" w:themeColor="text1"/>
          <w:sz w:val="22"/>
        </w:rPr>
        <w:t>diagnosed</w:t>
      </w:r>
      <w:proofErr w:type="gramEnd"/>
      <w:r w:rsidR="00E21729" w:rsidRPr="00CE70C8">
        <w:rPr>
          <w:rFonts w:ascii="Arial" w:hAnsi="Arial" w:cs="Arial"/>
          <w:color w:val="000000" w:themeColor="text1"/>
          <w:sz w:val="22"/>
        </w:rPr>
        <w:t xml:space="preserve"> </w:t>
      </w:r>
      <w:r w:rsidR="00D216D9" w:rsidRPr="00CE70C8">
        <w:rPr>
          <w:rFonts w:ascii="Arial" w:hAnsi="Arial" w:cs="Arial"/>
          <w:color w:val="000000" w:themeColor="text1"/>
          <w:sz w:val="22"/>
        </w:rPr>
        <w:t>T2D compared to</w:t>
      </w:r>
      <w:r w:rsidR="00757F4D" w:rsidRPr="00CE70C8">
        <w:rPr>
          <w:rFonts w:ascii="Arial" w:hAnsi="Arial" w:cs="Arial"/>
          <w:color w:val="000000" w:themeColor="text1"/>
          <w:sz w:val="22"/>
        </w:rPr>
        <w:t xml:space="preserve"> healthy controls</w:t>
      </w:r>
      <w:r w:rsidR="00E40C83" w:rsidRPr="00CE70C8">
        <w:rPr>
          <w:rFonts w:ascii="Arial" w:hAnsi="Arial" w:cs="Arial"/>
          <w:color w:val="000000" w:themeColor="text1"/>
          <w:sz w:val="22"/>
        </w:rPr>
        <w:t>,</w:t>
      </w:r>
      <w:r w:rsidR="005E5AB6" w:rsidRPr="00CE70C8">
        <w:rPr>
          <w:rFonts w:ascii="Arial" w:hAnsi="Arial" w:cs="Arial"/>
          <w:color w:val="000000" w:themeColor="text1"/>
          <w:sz w:val="22"/>
        </w:rPr>
        <w:t xml:space="preserve"> </w:t>
      </w:r>
      <w:r w:rsidR="00E21729" w:rsidRPr="00CE70C8">
        <w:rPr>
          <w:rFonts w:ascii="Arial" w:hAnsi="Arial" w:cs="Arial"/>
          <w:color w:val="000000" w:themeColor="text1"/>
          <w:sz w:val="22"/>
        </w:rPr>
        <w:t>and the effects of</w:t>
      </w:r>
      <w:r w:rsidR="00CA5124" w:rsidRPr="00CE70C8">
        <w:rPr>
          <w:rFonts w:ascii="Arial" w:hAnsi="Arial" w:cs="Arial"/>
          <w:color w:val="000000" w:themeColor="text1"/>
          <w:sz w:val="22"/>
        </w:rPr>
        <w:t xml:space="preserve"> 4-week insulin pump therapy</w:t>
      </w:r>
      <w:r w:rsidR="00153516" w:rsidRPr="00CE70C8">
        <w:rPr>
          <w:rFonts w:ascii="Arial" w:hAnsi="Arial" w:cs="Arial"/>
          <w:color w:val="000000" w:themeColor="text1"/>
          <w:sz w:val="22"/>
        </w:rPr>
        <w:t>.</w:t>
      </w:r>
    </w:p>
    <w:p w14:paraId="43C0959C" w14:textId="77777777" w:rsidR="00153516" w:rsidRPr="00CE70C8" w:rsidRDefault="00153516" w:rsidP="00DC77EF">
      <w:pPr>
        <w:jc w:val="left"/>
        <w:rPr>
          <w:rFonts w:ascii="Arial" w:hAnsi="Arial" w:cs="Arial"/>
          <w:color w:val="000000" w:themeColor="text1"/>
          <w:sz w:val="22"/>
        </w:rPr>
      </w:pPr>
    </w:p>
    <w:p w14:paraId="0D36010F" w14:textId="0125FA54" w:rsidR="00027D2A" w:rsidRPr="00CE70C8" w:rsidRDefault="00FC5A5E" w:rsidP="00DC77EF">
      <w:pPr>
        <w:jc w:val="left"/>
        <w:rPr>
          <w:rFonts w:ascii="Arial" w:hAnsi="Arial" w:cs="Arial"/>
          <w:color w:val="000000" w:themeColor="text1"/>
          <w:sz w:val="22"/>
          <w:lang w:val="en-GB"/>
        </w:rPr>
      </w:pPr>
      <w:r w:rsidRPr="00CE70C8">
        <w:rPr>
          <w:rFonts w:ascii="Arial" w:hAnsi="Arial" w:cs="Arial"/>
          <w:b/>
          <w:bCs/>
          <w:color w:val="000000" w:themeColor="text1"/>
          <w:sz w:val="22"/>
        </w:rPr>
        <w:t>Methods:</w:t>
      </w:r>
      <w:r w:rsidRPr="00CE70C8">
        <w:rPr>
          <w:rFonts w:ascii="Arial" w:hAnsi="Arial" w:cs="Arial"/>
          <w:color w:val="000000" w:themeColor="text1"/>
          <w:sz w:val="22"/>
        </w:rPr>
        <w:t xml:space="preserve"> </w:t>
      </w:r>
      <w:r w:rsidR="00043286" w:rsidRPr="00CE70C8">
        <w:rPr>
          <w:rFonts w:ascii="Arial" w:hAnsi="Arial" w:cs="Arial"/>
          <w:color w:val="000000" w:themeColor="text1"/>
          <w:sz w:val="22"/>
        </w:rPr>
        <w:t>Sixty-eight</w:t>
      </w:r>
      <w:r w:rsidR="00513E87" w:rsidRPr="00CE70C8">
        <w:rPr>
          <w:rFonts w:ascii="Arial" w:hAnsi="Arial" w:cs="Arial"/>
          <w:color w:val="000000" w:themeColor="text1"/>
          <w:sz w:val="22"/>
        </w:rPr>
        <w:t xml:space="preserve"> newly</w:t>
      </w:r>
      <w:r w:rsidR="00551739">
        <w:rPr>
          <w:rFonts w:ascii="Arial" w:hAnsi="Arial" w:cs="Arial"/>
          <w:color w:val="000000" w:themeColor="text1"/>
          <w:sz w:val="22"/>
        </w:rPr>
        <w:t>-</w:t>
      </w:r>
      <w:r w:rsidR="007A2C05" w:rsidRPr="00CE70C8">
        <w:rPr>
          <w:rFonts w:ascii="Arial" w:hAnsi="Arial" w:cs="Arial"/>
          <w:color w:val="000000" w:themeColor="text1"/>
          <w:sz w:val="22"/>
        </w:rPr>
        <w:t xml:space="preserve">diagnosed, treatment-naïve Han Chinese T2D </w:t>
      </w:r>
      <w:r w:rsidR="00A3592E" w:rsidRPr="00CE70C8">
        <w:rPr>
          <w:rFonts w:ascii="Arial" w:hAnsi="Arial" w:cs="Arial"/>
          <w:color w:val="000000" w:themeColor="text1"/>
          <w:sz w:val="22"/>
        </w:rPr>
        <w:t>participants</w:t>
      </w:r>
      <w:r w:rsidR="007A2C05" w:rsidRPr="00CE70C8">
        <w:rPr>
          <w:rFonts w:ascii="Arial" w:hAnsi="Arial" w:cs="Arial"/>
          <w:color w:val="000000" w:themeColor="text1"/>
          <w:sz w:val="22"/>
        </w:rPr>
        <w:t xml:space="preserve"> </w:t>
      </w:r>
      <w:r w:rsidR="008403F9" w:rsidRPr="00CE70C8">
        <w:rPr>
          <w:rFonts w:ascii="Arial" w:hAnsi="Arial" w:cs="Arial"/>
          <w:color w:val="000000" w:themeColor="text1"/>
          <w:sz w:val="22"/>
        </w:rPr>
        <w:t>(</w:t>
      </w:r>
      <w:r w:rsidR="00C05C95" w:rsidRPr="00CE70C8">
        <w:rPr>
          <w:rFonts w:ascii="Arial" w:hAnsi="Arial" w:cs="Arial"/>
          <w:color w:val="000000" w:themeColor="text1"/>
          <w:sz w:val="22"/>
          <w:lang w:val="en-GB"/>
        </w:rPr>
        <w:t xml:space="preserve">43 male, age </w:t>
      </w:r>
      <w:r w:rsidR="004C0474" w:rsidRPr="00CE70C8">
        <w:rPr>
          <w:rFonts w:ascii="Arial" w:hAnsi="Arial" w:cs="Arial"/>
          <w:color w:val="000000" w:themeColor="text1"/>
          <w:sz w:val="22"/>
          <w:lang w:val="en-GB"/>
        </w:rPr>
        <w:t>49.7</w:t>
      </w:r>
      <w:r w:rsidR="00C05C95" w:rsidRPr="00CE70C8">
        <w:rPr>
          <w:rFonts w:ascii="Arial" w:hAnsi="Arial" w:cs="Arial"/>
          <w:color w:val="000000" w:themeColor="text1"/>
          <w:sz w:val="22"/>
          <w:lang w:val="en-GB"/>
        </w:rPr>
        <w:t>±</w:t>
      </w:r>
      <w:r w:rsidR="004C0474" w:rsidRPr="00CE70C8">
        <w:rPr>
          <w:rFonts w:ascii="Arial" w:hAnsi="Arial" w:cs="Arial"/>
          <w:color w:val="000000" w:themeColor="text1"/>
          <w:sz w:val="22"/>
          <w:lang w:val="en-GB"/>
        </w:rPr>
        <w:t>1.3</w:t>
      </w:r>
      <w:r w:rsidR="00C05C95" w:rsidRPr="00CE70C8">
        <w:rPr>
          <w:rFonts w:ascii="Arial" w:hAnsi="Arial" w:cs="Arial"/>
          <w:color w:val="000000" w:themeColor="text1"/>
          <w:sz w:val="22"/>
          <w:lang w:val="en-GB"/>
        </w:rPr>
        <w:t xml:space="preserve"> years, BMI </w:t>
      </w:r>
      <w:r w:rsidR="004C0474" w:rsidRPr="00CE70C8">
        <w:rPr>
          <w:rFonts w:ascii="Arial" w:hAnsi="Arial" w:cs="Arial"/>
          <w:color w:val="000000" w:themeColor="text1"/>
          <w:sz w:val="22"/>
          <w:lang w:val="en-GB"/>
        </w:rPr>
        <w:t>26.0</w:t>
      </w:r>
      <w:r w:rsidR="00C05C95" w:rsidRPr="00CE70C8">
        <w:rPr>
          <w:rFonts w:ascii="Arial" w:hAnsi="Arial" w:cs="Arial"/>
          <w:color w:val="000000" w:themeColor="text1"/>
          <w:sz w:val="22"/>
          <w:lang w:val="en-GB"/>
        </w:rPr>
        <w:t>±0.</w:t>
      </w:r>
      <w:r w:rsidR="004C0474" w:rsidRPr="00CE70C8">
        <w:rPr>
          <w:rFonts w:ascii="Arial" w:hAnsi="Arial" w:cs="Arial"/>
          <w:color w:val="000000" w:themeColor="text1"/>
          <w:sz w:val="22"/>
          <w:lang w:val="en-GB"/>
        </w:rPr>
        <w:t>4</w:t>
      </w:r>
      <w:r w:rsidR="00C05C95" w:rsidRPr="00CE70C8">
        <w:rPr>
          <w:rFonts w:ascii="Arial" w:hAnsi="Arial" w:cs="Arial"/>
          <w:color w:val="000000" w:themeColor="text1"/>
          <w:sz w:val="22"/>
          <w:lang w:val="en-GB"/>
        </w:rPr>
        <w:t>kg/m</w:t>
      </w:r>
      <w:r w:rsidR="00C05C95" w:rsidRPr="00CE70C8">
        <w:rPr>
          <w:rFonts w:ascii="Arial" w:hAnsi="Arial" w:cs="Arial"/>
          <w:color w:val="000000" w:themeColor="text1"/>
          <w:sz w:val="22"/>
          <w:vertAlign w:val="superscript"/>
          <w:lang w:val="en-GB"/>
        </w:rPr>
        <w:t>2</w:t>
      </w:r>
      <w:r w:rsidR="00C05C95" w:rsidRPr="00CE70C8">
        <w:rPr>
          <w:rFonts w:ascii="Arial" w:hAnsi="Arial" w:cs="Arial"/>
          <w:color w:val="000000" w:themeColor="text1"/>
          <w:sz w:val="22"/>
          <w:lang w:val="en-GB"/>
        </w:rPr>
        <w:t xml:space="preserve">, HbA1c </w:t>
      </w:r>
      <w:r w:rsidR="004C0474" w:rsidRPr="00CE70C8">
        <w:rPr>
          <w:rFonts w:ascii="Arial" w:hAnsi="Arial" w:cs="Arial"/>
          <w:color w:val="000000" w:themeColor="text1"/>
          <w:sz w:val="22"/>
          <w:lang w:val="en-GB"/>
        </w:rPr>
        <w:t>9.8</w:t>
      </w:r>
      <w:r w:rsidR="00C05C95" w:rsidRPr="00CE70C8">
        <w:rPr>
          <w:rFonts w:ascii="Arial" w:hAnsi="Arial" w:cs="Arial"/>
          <w:color w:val="000000" w:themeColor="text1"/>
          <w:sz w:val="22"/>
          <w:lang w:val="en-GB"/>
        </w:rPr>
        <w:t>±0.2%</w:t>
      </w:r>
      <w:r w:rsidR="008403F9" w:rsidRPr="00CE70C8">
        <w:rPr>
          <w:rFonts w:ascii="Arial" w:hAnsi="Arial" w:cs="Arial"/>
          <w:color w:val="000000" w:themeColor="text1"/>
          <w:sz w:val="22"/>
        </w:rPr>
        <w:t xml:space="preserve">) </w:t>
      </w:r>
      <w:r w:rsidR="007A2C05" w:rsidRPr="00CE70C8">
        <w:rPr>
          <w:rFonts w:ascii="Arial" w:hAnsi="Arial" w:cs="Arial"/>
          <w:color w:val="000000" w:themeColor="text1"/>
          <w:sz w:val="22"/>
        </w:rPr>
        <w:t>a</w:t>
      </w:r>
      <w:proofErr w:type="spellStart"/>
      <w:r w:rsidR="007A2C05" w:rsidRPr="00CE70C8">
        <w:rPr>
          <w:rFonts w:ascii="Arial" w:hAnsi="Arial" w:cs="Arial"/>
          <w:color w:val="000000" w:themeColor="text1"/>
          <w:sz w:val="22"/>
          <w:lang w:val="en-GB"/>
        </w:rPr>
        <w:t>nd</w:t>
      </w:r>
      <w:proofErr w:type="spellEnd"/>
      <w:r w:rsidR="007A2C05" w:rsidRPr="00CE70C8">
        <w:rPr>
          <w:rFonts w:ascii="Arial" w:hAnsi="Arial" w:cs="Arial"/>
          <w:color w:val="000000" w:themeColor="text1"/>
          <w:sz w:val="22"/>
          <w:lang w:val="en-GB"/>
        </w:rPr>
        <w:t xml:space="preserve"> </w:t>
      </w:r>
      <w:r w:rsidR="00846087" w:rsidRPr="00CE70C8">
        <w:rPr>
          <w:rFonts w:ascii="Arial" w:hAnsi="Arial" w:cs="Arial"/>
          <w:color w:val="000000" w:themeColor="text1"/>
          <w:sz w:val="22"/>
          <w:lang w:val="en-GB"/>
        </w:rPr>
        <w:t>18</w:t>
      </w:r>
      <w:r w:rsidR="007A2C05" w:rsidRPr="00CE70C8">
        <w:rPr>
          <w:rFonts w:ascii="Arial" w:hAnsi="Arial" w:cs="Arial"/>
          <w:color w:val="000000" w:themeColor="text1"/>
          <w:sz w:val="22"/>
          <w:lang w:val="en-GB"/>
        </w:rPr>
        <w:t xml:space="preserve"> </w:t>
      </w:r>
      <w:r w:rsidR="00BA585F" w:rsidRPr="00CE70C8">
        <w:rPr>
          <w:rFonts w:ascii="Arial" w:hAnsi="Arial" w:cs="Arial"/>
          <w:color w:val="000000" w:themeColor="text1"/>
          <w:sz w:val="22"/>
          <w:lang w:val="en-GB"/>
        </w:rPr>
        <w:t xml:space="preserve">healthy </w:t>
      </w:r>
      <w:r w:rsidR="005C3F96" w:rsidRPr="00CE70C8">
        <w:rPr>
          <w:rFonts w:ascii="Arial" w:hAnsi="Arial" w:cs="Arial"/>
          <w:color w:val="000000" w:themeColor="text1"/>
          <w:sz w:val="22"/>
          <w:lang w:val="en-GB"/>
        </w:rPr>
        <w:t>controls</w:t>
      </w:r>
      <w:r w:rsidR="004C0474" w:rsidRPr="00CE70C8">
        <w:rPr>
          <w:rFonts w:ascii="Arial" w:hAnsi="Arial" w:cs="Arial"/>
          <w:color w:val="000000" w:themeColor="text1"/>
          <w:sz w:val="22"/>
          <w:lang w:val="en-GB"/>
        </w:rPr>
        <w:t xml:space="preserve"> (</w:t>
      </w:r>
      <w:r w:rsidR="00F30753" w:rsidRPr="00CE70C8">
        <w:rPr>
          <w:rFonts w:ascii="Arial" w:hAnsi="Arial" w:cs="Arial"/>
          <w:color w:val="000000" w:themeColor="text1"/>
          <w:sz w:val="22"/>
          <w:lang w:val="en-GB"/>
        </w:rPr>
        <w:t>9</w:t>
      </w:r>
      <w:r w:rsidR="004C0474" w:rsidRPr="00CE70C8">
        <w:rPr>
          <w:rFonts w:ascii="Arial" w:hAnsi="Arial" w:cs="Arial"/>
          <w:color w:val="000000" w:themeColor="text1"/>
          <w:sz w:val="22"/>
          <w:lang w:val="en-GB"/>
        </w:rPr>
        <w:t xml:space="preserve"> male, age 4</w:t>
      </w:r>
      <w:r w:rsidR="00F30753" w:rsidRPr="00CE70C8">
        <w:rPr>
          <w:rFonts w:ascii="Arial" w:hAnsi="Arial" w:cs="Arial"/>
          <w:color w:val="000000" w:themeColor="text1"/>
          <w:sz w:val="22"/>
          <w:lang w:val="en-GB"/>
        </w:rPr>
        <w:t>6.9</w:t>
      </w:r>
      <w:r w:rsidR="004C0474" w:rsidRPr="00CE70C8">
        <w:rPr>
          <w:rFonts w:ascii="Arial" w:hAnsi="Arial" w:cs="Arial"/>
          <w:color w:val="000000" w:themeColor="text1"/>
          <w:sz w:val="22"/>
          <w:lang w:val="en-GB"/>
        </w:rPr>
        <w:t>±</w:t>
      </w:r>
      <w:r w:rsidR="00F30753" w:rsidRPr="00CE70C8">
        <w:rPr>
          <w:rFonts w:ascii="Arial" w:hAnsi="Arial" w:cs="Arial"/>
          <w:color w:val="000000" w:themeColor="text1"/>
          <w:sz w:val="22"/>
          <w:lang w:val="en-GB"/>
        </w:rPr>
        <w:t>2.7</w:t>
      </w:r>
      <w:r w:rsidR="004C0474" w:rsidRPr="00CE70C8">
        <w:rPr>
          <w:rFonts w:ascii="Arial" w:hAnsi="Arial" w:cs="Arial"/>
          <w:color w:val="000000" w:themeColor="text1"/>
          <w:sz w:val="22"/>
          <w:lang w:val="en-GB"/>
        </w:rPr>
        <w:t xml:space="preserve"> years, BMI 2</w:t>
      </w:r>
      <w:r w:rsidR="00F30753" w:rsidRPr="00CE70C8">
        <w:rPr>
          <w:rFonts w:ascii="Arial" w:hAnsi="Arial" w:cs="Arial"/>
          <w:color w:val="000000" w:themeColor="text1"/>
          <w:sz w:val="22"/>
          <w:lang w:val="en-GB"/>
        </w:rPr>
        <w:t>3.8</w:t>
      </w:r>
      <w:r w:rsidR="004C0474" w:rsidRPr="00CE70C8">
        <w:rPr>
          <w:rFonts w:ascii="Arial" w:hAnsi="Arial" w:cs="Arial"/>
          <w:color w:val="000000" w:themeColor="text1"/>
          <w:sz w:val="22"/>
          <w:lang w:val="en-GB"/>
        </w:rPr>
        <w:t>±0.</w:t>
      </w:r>
      <w:r w:rsidR="00F30753" w:rsidRPr="00CE70C8">
        <w:rPr>
          <w:rFonts w:ascii="Arial" w:hAnsi="Arial" w:cs="Arial"/>
          <w:color w:val="000000" w:themeColor="text1"/>
          <w:sz w:val="22"/>
          <w:lang w:val="en-GB"/>
        </w:rPr>
        <w:t>6</w:t>
      </w:r>
      <w:r w:rsidR="004C0474" w:rsidRPr="00CE70C8">
        <w:rPr>
          <w:rFonts w:ascii="Arial" w:hAnsi="Arial" w:cs="Arial"/>
          <w:color w:val="000000" w:themeColor="text1"/>
          <w:sz w:val="22"/>
          <w:lang w:val="en-GB"/>
        </w:rPr>
        <w:t>kg/m2)</w:t>
      </w:r>
      <w:r w:rsidR="00043286" w:rsidRPr="00CE70C8">
        <w:rPr>
          <w:rFonts w:ascii="Arial" w:hAnsi="Arial" w:cs="Arial"/>
          <w:color w:val="000000" w:themeColor="text1"/>
          <w:sz w:val="22"/>
          <w:lang w:val="en-GB"/>
        </w:rPr>
        <w:t xml:space="preserve"> </w:t>
      </w:r>
      <w:r w:rsidR="008A0DE7" w:rsidRPr="00CE70C8">
        <w:rPr>
          <w:rFonts w:ascii="Arial" w:hAnsi="Arial" w:cs="Arial"/>
          <w:color w:val="000000" w:themeColor="text1"/>
          <w:sz w:val="22"/>
          <w:lang w:val="en-GB"/>
        </w:rPr>
        <w:t>underwent</w:t>
      </w:r>
      <w:r w:rsidR="00CE0AAF" w:rsidRPr="00CE70C8">
        <w:rPr>
          <w:rFonts w:ascii="Arial" w:hAnsi="Arial" w:cs="Arial"/>
          <w:color w:val="000000" w:themeColor="text1"/>
          <w:sz w:val="22"/>
          <w:lang w:val="en-GB"/>
        </w:rPr>
        <w:t xml:space="preserve"> </w:t>
      </w:r>
      <w:r w:rsidR="00B1470B" w:rsidRPr="00CE70C8">
        <w:rPr>
          <w:rFonts w:ascii="Arial" w:hAnsi="Arial" w:cs="Arial"/>
          <w:color w:val="000000" w:themeColor="text1"/>
          <w:sz w:val="22"/>
          <w:lang w:val="en-GB"/>
        </w:rPr>
        <w:t xml:space="preserve">a 75g </w:t>
      </w:r>
      <w:r w:rsidR="008A0DE7" w:rsidRPr="00CE70C8">
        <w:rPr>
          <w:rFonts w:ascii="Arial" w:hAnsi="Arial" w:cs="Arial"/>
          <w:color w:val="000000" w:themeColor="text1"/>
          <w:sz w:val="22"/>
          <w:lang w:val="en-GB"/>
        </w:rPr>
        <w:t>oral glucose tolerance test (OGTT)</w:t>
      </w:r>
      <w:r w:rsidR="002D1ED9">
        <w:rPr>
          <w:rFonts w:ascii="Arial" w:hAnsi="Arial" w:cs="Arial"/>
          <w:color w:val="000000" w:themeColor="text1"/>
          <w:sz w:val="22"/>
          <w:lang w:val="en-GB"/>
        </w:rPr>
        <w:t>, with</w:t>
      </w:r>
      <w:r w:rsidR="00B1470B" w:rsidRPr="00CE70C8">
        <w:rPr>
          <w:rFonts w:ascii="Arial" w:hAnsi="Arial" w:cs="Arial"/>
          <w:color w:val="000000" w:themeColor="text1"/>
          <w:sz w:val="22"/>
          <w:lang w:val="en-GB"/>
        </w:rPr>
        <w:t xml:space="preserve"> plasma glucose</w:t>
      </w:r>
      <w:r w:rsidR="00CE0AAF" w:rsidRPr="00CE70C8">
        <w:rPr>
          <w:rFonts w:ascii="Arial" w:hAnsi="Arial" w:cs="Arial"/>
          <w:color w:val="000000" w:themeColor="text1"/>
          <w:sz w:val="22"/>
          <w:lang w:val="en-GB"/>
        </w:rPr>
        <w:t xml:space="preserve"> and</w:t>
      </w:r>
      <w:r w:rsidR="00B1470B" w:rsidRPr="00CE70C8">
        <w:rPr>
          <w:rFonts w:ascii="Arial" w:hAnsi="Arial" w:cs="Arial"/>
          <w:color w:val="000000" w:themeColor="text1"/>
          <w:sz w:val="22"/>
          <w:lang w:val="en-GB"/>
        </w:rPr>
        <w:t xml:space="preserve"> serum insulin, </w:t>
      </w:r>
      <w:r w:rsidR="00CE0AAF" w:rsidRPr="00CE70C8">
        <w:rPr>
          <w:rFonts w:ascii="Arial" w:hAnsi="Arial" w:cs="Arial"/>
          <w:color w:val="000000" w:themeColor="text1"/>
          <w:sz w:val="22"/>
          <w:lang w:val="en-GB"/>
        </w:rPr>
        <w:t xml:space="preserve">fibroblast growth factor-19 (FGF-19) and </w:t>
      </w:r>
      <w:r w:rsidR="00B1470B" w:rsidRPr="00CE70C8">
        <w:rPr>
          <w:rFonts w:ascii="Arial" w:hAnsi="Arial" w:cs="Arial"/>
          <w:color w:val="000000" w:themeColor="text1"/>
          <w:sz w:val="22"/>
          <w:lang w:val="en-GB"/>
        </w:rPr>
        <w:t xml:space="preserve">total and individual BAs </w:t>
      </w:r>
      <w:r w:rsidR="002D1ED9">
        <w:rPr>
          <w:rFonts w:ascii="Arial" w:hAnsi="Arial" w:cs="Arial"/>
          <w:color w:val="000000" w:themeColor="text1"/>
          <w:sz w:val="22"/>
          <w:lang w:val="en-GB"/>
        </w:rPr>
        <w:t>assessed over 180min</w:t>
      </w:r>
      <w:r w:rsidR="00B1470B" w:rsidRPr="00CE70C8">
        <w:rPr>
          <w:rFonts w:ascii="Arial" w:hAnsi="Arial" w:cs="Arial"/>
          <w:color w:val="000000" w:themeColor="text1"/>
          <w:sz w:val="22"/>
          <w:lang w:val="en-GB"/>
        </w:rPr>
        <w:t xml:space="preserve">. </w:t>
      </w:r>
      <w:r w:rsidR="00CE0AAF" w:rsidRPr="00CE70C8">
        <w:rPr>
          <w:rFonts w:ascii="Arial" w:hAnsi="Arial" w:cs="Arial"/>
          <w:color w:val="000000" w:themeColor="text1"/>
          <w:sz w:val="22"/>
          <w:lang w:val="en-GB"/>
        </w:rPr>
        <w:t>A</w:t>
      </w:r>
      <w:r w:rsidR="00B1470B" w:rsidRPr="00CE70C8">
        <w:rPr>
          <w:rFonts w:ascii="Arial" w:hAnsi="Arial" w:cs="Arial"/>
          <w:color w:val="000000" w:themeColor="text1"/>
          <w:sz w:val="22"/>
          <w:lang w:val="en-GB"/>
        </w:rPr>
        <w:t xml:space="preserve"> </w:t>
      </w:r>
      <w:r w:rsidR="005254B1" w:rsidRPr="00CE70C8">
        <w:rPr>
          <w:rFonts w:ascii="Arial" w:hAnsi="Arial" w:cs="Arial"/>
          <w:color w:val="000000" w:themeColor="text1"/>
          <w:sz w:val="22"/>
          <w:lang w:val="en-GB"/>
        </w:rPr>
        <w:t xml:space="preserve">subset </w:t>
      </w:r>
      <w:r w:rsidR="00B1470B" w:rsidRPr="00CE70C8">
        <w:rPr>
          <w:rFonts w:ascii="Arial" w:hAnsi="Arial" w:cs="Arial"/>
          <w:color w:val="000000" w:themeColor="text1"/>
          <w:sz w:val="22"/>
          <w:lang w:val="en-GB"/>
        </w:rPr>
        <w:t xml:space="preserve">of T2D </w:t>
      </w:r>
      <w:r w:rsidR="00CE0AAF" w:rsidRPr="00CE70C8">
        <w:rPr>
          <w:rFonts w:ascii="Arial" w:hAnsi="Arial" w:cs="Arial"/>
          <w:color w:val="000000" w:themeColor="text1"/>
          <w:sz w:val="22"/>
          <w:lang w:val="en-GB"/>
        </w:rPr>
        <w:t xml:space="preserve">participants (n=21) </w:t>
      </w:r>
      <w:r w:rsidR="001A24CB" w:rsidRPr="00CE70C8">
        <w:rPr>
          <w:rFonts w:ascii="Arial" w:hAnsi="Arial" w:cs="Arial"/>
          <w:color w:val="000000" w:themeColor="text1"/>
          <w:sz w:val="22"/>
          <w:lang w:val="en-GB"/>
        </w:rPr>
        <w:t>received</w:t>
      </w:r>
      <w:r w:rsidR="008A0DE7" w:rsidRPr="00CE70C8">
        <w:rPr>
          <w:rFonts w:ascii="Arial" w:hAnsi="Arial" w:cs="Arial"/>
          <w:color w:val="000000" w:themeColor="text1"/>
          <w:sz w:val="22"/>
          <w:lang w:val="en-GB"/>
        </w:rPr>
        <w:t xml:space="preserve"> </w:t>
      </w:r>
      <w:r w:rsidR="00B1470B" w:rsidRPr="00CE70C8">
        <w:rPr>
          <w:rFonts w:ascii="Arial" w:hAnsi="Arial" w:cs="Arial"/>
          <w:color w:val="000000" w:themeColor="text1"/>
          <w:sz w:val="22"/>
          <w:lang w:val="en-GB"/>
        </w:rPr>
        <w:t>insulin pump therapy</w:t>
      </w:r>
      <w:r w:rsidR="008A0DE7" w:rsidRPr="00CE70C8">
        <w:rPr>
          <w:rFonts w:ascii="Arial" w:hAnsi="Arial" w:cs="Arial"/>
          <w:color w:val="000000" w:themeColor="text1"/>
          <w:sz w:val="22"/>
          <w:lang w:val="en-GB"/>
        </w:rPr>
        <w:t xml:space="preserve"> </w:t>
      </w:r>
      <w:r w:rsidR="00B92C9F" w:rsidRPr="00CE70C8">
        <w:rPr>
          <w:rFonts w:ascii="Arial" w:hAnsi="Arial" w:cs="Arial"/>
          <w:color w:val="000000" w:themeColor="text1"/>
          <w:sz w:val="22"/>
          <w:lang w:val="en-GB"/>
        </w:rPr>
        <w:t>for four weeks</w:t>
      </w:r>
      <w:r w:rsidR="0071777C" w:rsidRPr="00CE70C8">
        <w:rPr>
          <w:rFonts w:ascii="Arial" w:hAnsi="Arial" w:cs="Arial"/>
          <w:color w:val="000000" w:themeColor="text1"/>
          <w:sz w:val="22"/>
          <w:lang w:val="en-GB"/>
        </w:rPr>
        <w:t xml:space="preserve"> when the</w:t>
      </w:r>
      <w:r w:rsidR="008A0DE7" w:rsidRPr="00CE70C8">
        <w:rPr>
          <w:rFonts w:ascii="Arial" w:hAnsi="Arial" w:cs="Arial"/>
          <w:color w:val="000000" w:themeColor="text1"/>
          <w:sz w:val="22"/>
          <w:lang w:val="en-GB"/>
        </w:rPr>
        <w:t xml:space="preserve"> OGTT</w:t>
      </w:r>
      <w:r w:rsidR="0071777C" w:rsidRPr="00CE70C8">
        <w:rPr>
          <w:rFonts w:ascii="Arial" w:hAnsi="Arial" w:cs="Arial"/>
          <w:color w:val="000000" w:themeColor="text1"/>
          <w:sz w:val="22"/>
          <w:lang w:val="en-GB"/>
        </w:rPr>
        <w:t xml:space="preserve"> was repeated</w:t>
      </w:r>
      <w:r w:rsidR="00B1470B" w:rsidRPr="00CE70C8">
        <w:rPr>
          <w:rFonts w:ascii="Arial" w:hAnsi="Arial" w:cs="Arial"/>
          <w:color w:val="000000" w:themeColor="text1"/>
          <w:sz w:val="22"/>
          <w:lang w:val="en-GB"/>
        </w:rPr>
        <w:t>.</w:t>
      </w:r>
    </w:p>
    <w:p w14:paraId="1D758D8F" w14:textId="77777777" w:rsidR="00B1470B" w:rsidRPr="00CE70C8" w:rsidRDefault="00B1470B" w:rsidP="00DC77EF">
      <w:pPr>
        <w:jc w:val="left"/>
        <w:rPr>
          <w:rFonts w:ascii="Arial" w:hAnsi="Arial" w:cs="Arial"/>
          <w:sz w:val="22"/>
          <w:lang w:val="en-GB"/>
        </w:rPr>
      </w:pPr>
    </w:p>
    <w:p w14:paraId="6E94A189" w14:textId="20E1C253" w:rsidR="0050606F" w:rsidRPr="00CE70C8" w:rsidRDefault="00FC5A5E" w:rsidP="00DC77EF">
      <w:pPr>
        <w:jc w:val="left"/>
        <w:rPr>
          <w:rFonts w:ascii="Arial" w:hAnsi="Arial" w:cs="Arial"/>
          <w:b/>
          <w:bCs/>
          <w:color w:val="FF0000"/>
          <w:sz w:val="22"/>
          <w:lang w:val="en-GB"/>
        </w:rPr>
      </w:pPr>
      <w:r w:rsidRPr="00CE70C8">
        <w:rPr>
          <w:rFonts w:ascii="Arial" w:hAnsi="Arial" w:cs="Arial"/>
          <w:b/>
          <w:bCs/>
          <w:color w:val="000000" w:themeColor="text1"/>
          <w:sz w:val="22"/>
          <w:lang w:val="en-GB"/>
        </w:rPr>
        <w:t>Results:</w:t>
      </w:r>
      <w:r w:rsidRPr="00CE70C8">
        <w:rPr>
          <w:rFonts w:ascii="Arial" w:hAnsi="Arial" w:cs="Arial"/>
          <w:color w:val="000000" w:themeColor="text1"/>
          <w:sz w:val="22"/>
          <w:lang w:val="en-GB"/>
        </w:rPr>
        <w:t xml:space="preserve"> </w:t>
      </w:r>
      <w:r w:rsidR="003F1FB8" w:rsidRPr="00CE70C8">
        <w:rPr>
          <w:rFonts w:ascii="Arial" w:hAnsi="Arial" w:cs="Arial"/>
          <w:color w:val="000000" w:themeColor="text1"/>
          <w:sz w:val="22"/>
          <w:lang w:val="en-GB"/>
        </w:rPr>
        <w:t>U</w:t>
      </w:r>
      <w:r w:rsidR="00580FC0" w:rsidRPr="00CE70C8">
        <w:rPr>
          <w:rFonts w:ascii="Arial" w:hAnsi="Arial" w:cs="Arial"/>
          <w:color w:val="000000" w:themeColor="text1"/>
          <w:sz w:val="22"/>
          <w:lang w:val="en-GB"/>
        </w:rPr>
        <w:t>ntreated</w:t>
      </w:r>
      <w:r w:rsidR="008E263A" w:rsidRPr="00CE70C8">
        <w:rPr>
          <w:rFonts w:ascii="Arial" w:hAnsi="Arial" w:cs="Arial"/>
          <w:color w:val="000000" w:themeColor="text1"/>
          <w:sz w:val="22"/>
          <w:lang w:val="en-GB"/>
        </w:rPr>
        <w:t xml:space="preserve"> T2D participants</w:t>
      </w:r>
      <w:r w:rsidR="00580FC0" w:rsidRPr="00CE70C8">
        <w:rPr>
          <w:rFonts w:ascii="Arial" w:hAnsi="Arial" w:cs="Arial"/>
          <w:color w:val="000000" w:themeColor="text1"/>
          <w:sz w:val="22"/>
          <w:lang w:val="en-GB"/>
        </w:rPr>
        <w:t xml:space="preserve"> </w:t>
      </w:r>
      <w:r w:rsidR="0071777C" w:rsidRPr="00CE70C8">
        <w:rPr>
          <w:rFonts w:ascii="Arial" w:hAnsi="Arial" w:cs="Arial"/>
          <w:color w:val="000000" w:themeColor="text1"/>
          <w:sz w:val="22"/>
          <w:lang w:val="en-GB"/>
        </w:rPr>
        <w:t>had</w:t>
      </w:r>
      <w:r w:rsidR="008E263A" w:rsidRPr="00CE70C8">
        <w:rPr>
          <w:rFonts w:ascii="Arial" w:hAnsi="Arial" w:cs="Arial"/>
          <w:color w:val="000000" w:themeColor="text1"/>
          <w:sz w:val="22"/>
          <w:lang w:val="en-GB"/>
        </w:rPr>
        <w:t xml:space="preserve"> comparable </w:t>
      </w:r>
      <w:r w:rsidR="008E263A" w:rsidRPr="00CE70C8">
        <w:rPr>
          <w:rFonts w:ascii="Arial" w:hAnsi="Arial" w:cs="Arial"/>
          <w:color w:val="000000" w:themeColor="text1"/>
          <w:sz w:val="22"/>
        </w:rPr>
        <w:t>f</w:t>
      </w:r>
      <w:r w:rsidR="00C56835" w:rsidRPr="00CE70C8">
        <w:rPr>
          <w:rFonts w:ascii="Arial" w:hAnsi="Arial" w:cs="Arial"/>
          <w:color w:val="000000" w:themeColor="text1"/>
          <w:sz w:val="22"/>
        </w:rPr>
        <w:t>asting total BA</w:t>
      </w:r>
      <w:r w:rsidR="008E263A" w:rsidRPr="00CE70C8">
        <w:rPr>
          <w:rFonts w:ascii="Arial" w:hAnsi="Arial" w:cs="Arial"/>
          <w:color w:val="000000" w:themeColor="text1"/>
          <w:sz w:val="22"/>
        </w:rPr>
        <w:t xml:space="preserve"> and FGF-19</w:t>
      </w:r>
      <w:r w:rsidR="00C56835" w:rsidRPr="00CE70C8">
        <w:rPr>
          <w:rFonts w:ascii="Arial" w:hAnsi="Arial" w:cs="Arial"/>
          <w:color w:val="000000" w:themeColor="text1"/>
          <w:sz w:val="22"/>
        </w:rPr>
        <w:t xml:space="preserve"> levels</w:t>
      </w:r>
      <w:r w:rsidR="003F1FB8" w:rsidRPr="00CE70C8">
        <w:rPr>
          <w:rFonts w:ascii="Arial" w:hAnsi="Arial" w:cs="Arial"/>
          <w:color w:val="000000" w:themeColor="text1"/>
          <w:sz w:val="22"/>
        </w:rPr>
        <w:t xml:space="preserve"> to </w:t>
      </w:r>
      <w:r w:rsidR="003F1FB8" w:rsidRPr="00CE70C8">
        <w:rPr>
          <w:rFonts w:ascii="Arial" w:hAnsi="Arial" w:cs="Arial"/>
          <w:color w:val="000000" w:themeColor="text1"/>
          <w:sz w:val="22"/>
          <w:lang w:val="en-GB"/>
        </w:rPr>
        <w:t>healthy controls</w:t>
      </w:r>
      <w:r w:rsidR="008E263A" w:rsidRPr="00CE70C8">
        <w:rPr>
          <w:rFonts w:ascii="Arial" w:hAnsi="Arial" w:cs="Arial"/>
          <w:color w:val="000000" w:themeColor="text1"/>
          <w:sz w:val="22"/>
        </w:rPr>
        <w:t xml:space="preserve">, but </w:t>
      </w:r>
      <w:r w:rsidR="00682FE1" w:rsidRPr="00CE70C8">
        <w:rPr>
          <w:rFonts w:ascii="Arial" w:hAnsi="Arial" w:cs="Arial"/>
          <w:sz w:val="22"/>
        </w:rPr>
        <w:t>exaggerated response</w:t>
      </w:r>
      <w:r w:rsidR="008E263A" w:rsidRPr="00CE70C8">
        <w:rPr>
          <w:rFonts w:ascii="Arial" w:hAnsi="Arial" w:cs="Arial"/>
          <w:sz w:val="22"/>
        </w:rPr>
        <w:t xml:space="preserve">s to oral glucose </w:t>
      </w:r>
      <w:r w:rsidR="002D71C8" w:rsidRPr="00CE70C8">
        <w:rPr>
          <w:rFonts w:ascii="Arial" w:hAnsi="Arial" w:cs="Arial"/>
          <w:color w:val="000000" w:themeColor="text1"/>
          <w:sz w:val="22"/>
        </w:rPr>
        <w:t>(</w:t>
      </w:r>
      <w:r w:rsidR="0093094B">
        <w:rPr>
          <w:rFonts w:ascii="Arial" w:hAnsi="Arial" w:cs="Arial" w:hint="eastAsia"/>
          <w:color w:val="000000" w:themeColor="text1"/>
          <w:sz w:val="22"/>
        </w:rPr>
        <w:t>each</w:t>
      </w:r>
      <w:r w:rsidR="002D71C8" w:rsidRPr="00CE70C8">
        <w:rPr>
          <w:rFonts w:ascii="Arial" w:hAnsi="Arial" w:cs="Arial"/>
          <w:color w:val="000000" w:themeColor="text1"/>
          <w:sz w:val="22"/>
        </w:rPr>
        <w:t xml:space="preserve"> </w:t>
      </w:r>
      <w:r w:rsidR="0093094B" w:rsidRPr="00622017">
        <w:rPr>
          <w:rFonts w:ascii="Arial" w:hAnsi="Arial" w:cs="Arial" w:hint="eastAsia"/>
          <w:i/>
          <w:iCs/>
          <w:color w:val="000000" w:themeColor="text1"/>
          <w:sz w:val="22"/>
        </w:rPr>
        <w:t>p</w:t>
      </w:r>
      <w:r w:rsidR="0093094B">
        <w:rPr>
          <w:rFonts w:ascii="Arial" w:hAnsi="Arial" w:cs="Arial" w:hint="eastAsia"/>
          <w:color w:val="000000" w:themeColor="text1"/>
          <w:sz w:val="22"/>
        </w:rPr>
        <w:t>&lt;0.05</w:t>
      </w:r>
      <w:r w:rsidR="00622017">
        <w:rPr>
          <w:rFonts w:ascii="Arial" w:hAnsi="Arial" w:cs="Arial" w:hint="eastAsia"/>
          <w:color w:val="000000" w:themeColor="text1"/>
          <w:sz w:val="22"/>
        </w:rPr>
        <w:t>,</w:t>
      </w:r>
      <w:r w:rsidR="00BA16F1" w:rsidRPr="00CE70C8">
        <w:rPr>
          <w:rFonts w:ascii="Arial" w:hAnsi="Arial" w:cs="Arial"/>
          <w:b/>
          <w:bCs/>
          <w:color w:val="000000" w:themeColor="text1"/>
          <w:sz w:val="22"/>
        </w:rPr>
        <w:t xml:space="preserve"> Figure A</w:t>
      </w:r>
      <w:r w:rsidR="002D71C8" w:rsidRPr="00CE70C8">
        <w:rPr>
          <w:rFonts w:ascii="Arial" w:hAnsi="Arial" w:cs="Arial"/>
          <w:color w:val="000000" w:themeColor="text1"/>
          <w:sz w:val="22"/>
        </w:rPr>
        <w:t>).</w:t>
      </w:r>
      <w:r w:rsidR="002D71C8" w:rsidRPr="00CE70C8">
        <w:rPr>
          <w:rFonts w:ascii="Arial" w:hAnsi="Arial" w:cs="Arial"/>
          <w:sz w:val="22"/>
        </w:rPr>
        <w:t xml:space="preserve"> </w:t>
      </w:r>
      <w:r w:rsidR="004717E4">
        <w:rPr>
          <w:rFonts w:ascii="Arial" w:hAnsi="Arial" w:cs="Arial"/>
          <w:color w:val="000000" w:themeColor="text1"/>
          <w:sz w:val="22"/>
        </w:rPr>
        <w:t>T</w:t>
      </w:r>
      <w:r w:rsidR="008E263A" w:rsidRPr="00CE70C8">
        <w:rPr>
          <w:rFonts w:ascii="Arial" w:hAnsi="Arial" w:cs="Arial"/>
          <w:color w:val="000000" w:themeColor="text1"/>
          <w:sz w:val="22"/>
        </w:rPr>
        <w:t xml:space="preserve">otal BA </w:t>
      </w:r>
      <w:r w:rsidR="004717E4" w:rsidRPr="00CE70C8">
        <w:rPr>
          <w:rFonts w:ascii="Arial" w:hAnsi="Arial" w:cs="Arial"/>
          <w:color w:val="000000" w:themeColor="text1"/>
          <w:sz w:val="22"/>
        </w:rPr>
        <w:t xml:space="preserve">area under the curve </w:t>
      </w:r>
      <w:r w:rsidR="004717E4">
        <w:rPr>
          <w:rFonts w:ascii="Arial" w:hAnsi="Arial" w:cs="Arial"/>
          <w:color w:val="000000" w:themeColor="text1"/>
          <w:sz w:val="22"/>
        </w:rPr>
        <w:t xml:space="preserve">over </w:t>
      </w:r>
      <w:r w:rsidR="008E263A" w:rsidRPr="00CE70C8">
        <w:rPr>
          <w:rFonts w:ascii="Arial" w:hAnsi="Arial" w:cs="Arial"/>
          <w:color w:val="000000" w:themeColor="text1"/>
          <w:sz w:val="22"/>
        </w:rPr>
        <w:t xml:space="preserve">180min was related </w:t>
      </w:r>
      <w:r w:rsidR="00E40C83" w:rsidRPr="00CE70C8">
        <w:rPr>
          <w:rFonts w:ascii="Arial" w:hAnsi="Arial" w:cs="Arial"/>
          <w:color w:val="000000" w:themeColor="text1"/>
          <w:sz w:val="22"/>
        </w:rPr>
        <w:t xml:space="preserve">positively </w:t>
      </w:r>
      <w:r w:rsidR="008E263A" w:rsidRPr="00CE70C8">
        <w:rPr>
          <w:rFonts w:ascii="Arial" w:hAnsi="Arial" w:cs="Arial"/>
          <w:color w:val="000000" w:themeColor="text1"/>
          <w:sz w:val="22"/>
        </w:rPr>
        <w:t xml:space="preserve">to </w:t>
      </w:r>
      <w:r w:rsidR="002D71C8" w:rsidRPr="00CE70C8">
        <w:rPr>
          <w:rFonts w:ascii="Arial" w:hAnsi="Arial" w:cs="Arial"/>
          <w:color w:val="000000" w:themeColor="text1"/>
          <w:sz w:val="22"/>
        </w:rPr>
        <w:t>HOMA-IR</w:t>
      </w:r>
      <w:r w:rsidR="00ED2751" w:rsidRPr="00CE70C8">
        <w:rPr>
          <w:rFonts w:ascii="Arial" w:hAnsi="Arial" w:cs="Arial"/>
          <w:color w:val="000000" w:themeColor="text1"/>
          <w:sz w:val="22"/>
        </w:rPr>
        <w:t xml:space="preserve"> </w:t>
      </w:r>
      <w:r w:rsidR="002D71C8" w:rsidRPr="00CE70C8">
        <w:rPr>
          <w:rFonts w:ascii="Arial" w:hAnsi="Arial" w:cs="Arial"/>
          <w:color w:val="000000" w:themeColor="text1"/>
          <w:sz w:val="22"/>
        </w:rPr>
        <w:t>(</w:t>
      </w:r>
      <w:r w:rsidR="00622017" w:rsidRPr="00622017">
        <w:rPr>
          <w:rFonts w:ascii="Arial" w:hAnsi="Arial" w:cs="Arial" w:hint="eastAsia"/>
          <w:i/>
          <w:iCs/>
          <w:sz w:val="22"/>
        </w:rPr>
        <w:t>p</w:t>
      </w:r>
      <w:r w:rsidR="002D71C8" w:rsidRPr="00CE70C8">
        <w:rPr>
          <w:rFonts w:ascii="Arial" w:hAnsi="Arial" w:cs="Arial"/>
          <w:color w:val="000000" w:themeColor="text1"/>
          <w:sz w:val="22"/>
        </w:rPr>
        <w:t xml:space="preserve">&lt;0.05). </w:t>
      </w:r>
      <w:r w:rsidR="003F1FB8" w:rsidRPr="00CE70C8">
        <w:rPr>
          <w:rFonts w:ascii="Arial" w:hAnsi="Arial" w:cs="Arial"/>
          <w:sz w:val="22"/>
        </w:rPr>
        <w:t>F</w:t>
      </w:r>
      <w:r w:rsidR="005254B1" w:rsidRPr="00CE70C8">
        <w:rPr>
          <w:rFonts w:ascii="Arial" w:hAnsi="Arial" w:cs="Arial"/>
          <w:sz w:val="22"/>
        </w:rPr>
        <w:t>our</w:t>
      </w:r>
      <w:r w:rsidR="003F1FB8" w:rsidRPr="00CE70C8">
        <w:rPr>
          <w:rFonts w:ascii="Arial" w:hAnsi="Arial" w:cs="Arial"/>
          <w:sz w:val="22"/>
        </w:rPr>
        <w:t xml:space="preserve"> </w:t>
      </w:r>
      <w:r w:rsidR="005254B1" w:rsidRPr="00CE70C8">
        <w:rPr>
          <w:rFonts w:ascii="Arial" w:hAnsi="Arial" w:cs="Arial"/>
          <w:sz w:val="22"/>
        </w:rPr>
        <w:t>week</w:t>
      </w:r>
      <w:r w:rsidR="003F1FB8" w:rsidRPr="00CE70C8">
        <w:rPr>
          <w:rFonts w:ascii="Arial" w:hAnsi="Arial" w:cs="Arial"/>
          <w:sz w:val="22"/>
        </w:rPr>
        <w:t>s of</w:t>
      </w:r>
      <w:r w:rsidR="005254B1" w:rsidRPr="00CE70C8">
        <w:rPr>
          <w:rFonts w:ascii="Arial" w:hAnsi="Arial" w:cs="Arial"/>
          <w:sz w:val="22"/>
        </w:rPr>
        <w:t xml:space="preserve"> i</w:t>
      </w:r>
      <w:r w:rsidR="002D71C8" w:rsidRPr="00CE70C8">
        <w:rPr>
          <w:rFonts w:ascii="Arial" w:hAnsi="Arial" w:cs="Arial"/>
          <w:sz w:val="22"/>
        </w:rPr>
        <w:t>nsulin pump therapy</w:t>
      </w:r>
      <w:r w:rsidR="005254B1" w:rsidRPr="00CE70C8">
        <w:rPr>
          <w:rFonts w:ascii="Arial" w:hAnsi="Arial" w:cs="Arial"/>
          <w:sz w:val="22"/>
        </w:rPr>
        <w:t xml:space="preserve"> </w:t>
      </w:r>
      <w:r w:rsidR="00D1455F" w:rsidRPr="00CE70C8">
        <w:rPr>
          <w:rFonts w:ascii="Arial" w:hAnsi="Arial" w:cs="Arial"/>
          <w:sz w:val="22"/>
        </w:rPr>
        <w:t>increased</w:t>
      </w:r>
      <w:r w:rsidR="00D1455F" w:rsidRPr="00CE70C8">
        <w:rPr>
          <w:rFonts w:ascii="Arial" w:hAnsi="Arial" w:cs="Arial"/>
          <w:color w:val="212121"/>
          <w:sz w:val="22"/>
          <w:shd w:val="clear" w:color="auto" w:fill="FFFFFF"/>
        </w:rPr>
        <w:t xml:space="preserve"> </w:t>
      </w:r>
      <w:r w:rsidR="00D1455F" w:rsidRPr="00CE70C8">
        <w:rPr>
          <w:rFonts w:ascii="Arial" w:hAnsi="Arial" w:cs="Arial"/>
          <w:sz w:val="22"/>
        </w:rPr>
        <w:t>insulin secretion</w:t>
      </w:r>
      <w:r w:rsidR="003F1FB8" w:rsidRPr="00CE70C8">
        <w:rPr>
          <w:rFonts w:ascii="Arial" w:hAnsi="Arial" w:cs="Arial"/>
          <w:sz w:val="22"/>
        </w:rPr>
        <w:t>,</w:t>
      </w:r>
      <w:r w:rsidR="00D1455F" w:rsidRPr="00CE70C8">
        <w:rPr>
          <w:rFonts w:ascii="Arial" w:hAnsi="Arial" w:cs="Arial"/>
          <w:sz w:val="22"/>
        </w:rPr>
        <w:t xml:space="preserve"> and reduced </w:t>
      </w:r>
      <w:r w:rsidR="00580FC0" w:rsidRPr="00CE70C8">
        <w:rPr>
          <w:rFonts w:ascii="Arial" w:hAnsi="Arial" w:cs="Arial"/>
          <w:sz w:val="22"/>
        </w:rPr>
        <w:t xml:space="preserve">HOMA-IR and </w:t>
      </w:r>
      <w:r w:rsidR="003F1FB8" w:rsidRPr="00CE70C8">
        <w:rPr>
          <w:rFonts w:ascii="Arial" w:hAnsi="Arial" w:cs="Arial"/>
          <w:sz w:val="22"/>
        </w:rPr>
        <w:t>glycaemia</w:t>
      </w:r>
      <w:r w:rsidR="00D1455F" w:rsidRPr="00CE70C8">
        <w:rPr>
          <w:rFonts w:ascii="Arial" w:hAnsi="Arial" w:cs="Arial"/>
          <w:sz w:val="22"/>
        </w:rPr>
        <w:t>, accompanied by</w:t>
      </w:r>
      <w:r w:rsidR="00580FC0" w:rsidRPr="00CE70C8">
        <w:rPr>
          <w:rFonts w:ascii="Arial" w:hAnsi="Arial" w:cs="Arial"/>
          <w:sz w:val="22"/>
        </w:rPr>
        <w:t xml:space="preserve"> </w:t>
      </w:r>
      <w:r w:rsidR="004717E4">
        <w:rPr>
          <w:rFonts w:ascii="Arial" w:hAnsi="Arial" w:cs="Arial"/>
          <w:sz w:val="22"/>
        </w:rPr>
        <w:t>reductions in</w:t>
      </w:r>
      <w:r w:rsidR="00BE7C99" w:rsidRPr="00CE70C8">
        <w:rPr>
          <w:rFonts w:ascii="Arial" w:hAnsi="Arial" w:cs="Arial"/>
          <w:sz w:val="22"/>
        </w:rPr>
        <w:t xml:space="preserve"> </w:t>
      </w:r>
      <w:r w:rsidR="00D1455F" w:rsidRPr="00CE70C8">
        <w:rPr>
          <w:rFonts w:ascii="Arial" w:hAnsi="Arial" w:cs="Arial"/>
          <w:sz w:val="22"/>
        </w:rPr>
        <w:t xml:space="preserve">total </w:t>
      </w:r>
      <w:r w:rsidR="00FB1863" w:rsidRPr="00CE70C8">
        <w:rPr>
          <w:rFonts w:ascii="Arial" w:hAnsi="Arial" w:cs="Arial"/>
          <w:sz w:val="22"/>
        </w:rPr>
        <w:t>BAs</w:t>
      </w:r>
      <w:r w:rsidR="00D14B94" w:rsidRPr="00CE70C8">
        <w:rPr>
          <w:rFonts w:ascii="Arial" w:hAnsi="Arial" w:cs="Arial"/>
          <w:sz w:val="22"/>
        </w:rPr>
        <w:t>,</w:t>
      </w:r>
      <w:r w:rsidR="00814FF3" w:rsidRPr="00CE70C8">
        <w:rPr>
          <w:rFonts w:ascii="Arial" w:hAnsi="Arial" w:cs="Arial"/>
          <w:sz w:val="22"/>
        </w:rPr>
        <w:t xml:space="preserve"> </w:t>
      </w:r>
      <w:r w:rsidR="003F1FB8" w:rsidRPr="00CE70C8">
        <w:rPr>
          <w:rFonts w:ascii="Arial" w:hAnsi="Arial" w:cs="Arial"/>
          <w:sz w:val="22"/>
        </w:rPr>
        <w:t>specific species (</w:t>
      </w:r>
      <w:r w:rsidR="00FB1863" w:rsidRPr="00CE70C8">
        <w:rPr>
          <w:rFonts w:ascii="Arial" w:hAnsi="Arial" w:cs="Arial"/>
          <w:sz w:val="22"/>
        </w:rPr>
        <w:t>TCA, TDCA, GCA, GCDCA</w:t>
      </w:r>
      <w:r w:rsidR="00D1455F" w:rsidRPr="00CE70C8">
        <w:rPr>
          <w:rFonts w:ascii="Arial" w:hAnsi="Arial" w:cs="Arial"/>
          <w:sz w:val="22"/>
        </w:rPr>
        <w:t xml:space="preserve"> and DCA</w:t>
      </w:r>
      <w:r w:rsidR="00FB1863" w:rsidRPr="00CE70C8">
        <w:rPr>
          <w:rFonts w:ascii="Arial" w:hAnsi="Arial" w:cs="Arial"/>
          <w:sz w:val="22"/>
        </w:rPr>
        <w:t>)</w:t>
      </w:r>
      <w:r w:rsidR="004717E4">
        <w:rPr>
          <w:rFonts w:ascii="Arial" w:hAnsi="Arial" w:cs="Arial"/>
          <w:sz w:val="22"/>
        </w:rPr>
        <w:t>,</w:t>
      </w:r>
      <w:r w:rsidR="00FB1863" w:rsidRPr="00CE70C8">
        <w:rPr>
          <w:rFonts w:ascii="Arial" w:hAnsi="Arial" w:cs="Arial"/>
          <w:sz w:val="22"/>
        </w:rPr>
        <w:t xml:space="preserve"> and FGF19 (each</w:t>
      </w:r>
      <w:r w:rsidR="002D1ED9">
        <w:rPr>
          <w:rFonts w:ascii="Arial" w:hAnsi="Arial" w:cs="Arial"/>
          <w:sz w:val="22"/>
        </w:rPr>
        <w:t xml:space="preserve"> </w:t>
      </w:r>
      <w:r w:rsidR="00622017" w:rsidRPr="00622017">
        <w:rPr>
          <w:rFonts w:ascii="Arial" w:hAnsi="Arial" w:cs="Arial" w:hint="eastAsia"/>
          <w:i/>
          <w:iCs/>
          <w:sz w:val="22"/>
        </w:rPr>
        <w:t>p</w:t>
      </w:r>
      <w:r w:rsidR="00FB1863" w:rsidRPr="00CE70C8">
        <w:rPr>
          <w:rFonts w:ascii="Arial" w:hAnsi="Arial" w:cs="Arial"/>
          <w:sz w:val="22"/>
        </w:rPr>
        <w:t>&lt;0.05</w:t>
      </w:r>
      <w:r w:rsidR="00BA16F1" w:rsidRPr="00CE70C8">
        <w:rPr>
          <w:rFonts w:ascii="Arial" w:hAnsi="Arial" w:cs="Arial"/>
          <w:sz w:val="22"/>
        </w:rPr>
        <w:t>,</w:t>
      </w:r>
      <w:r w:rsidR="00BA16F1" w:rsidRPr="00CE70C8">
        <w:rPr>
          <w:rFonts w:ascii="Arial" w:hAnsi="Arial" w:cs="Arial"/>
          <w:b/>
          <w:bCs/>
          <w:color w:val="000000" w:themeColor="text1"/>
          <w:sz w:val="22"/>
        </w:rPr>
        <w:t xml:space="preserve"> Figure B</w:t>
      </w:r>
      <w:r w:rsidR="00FB1863" w:rsidRPr="00CE70C8">
        <w:rPr>
          <w:rFonts w:ascii="Arial" w:hAnsi="Arial" w:cs="Arial"/>
          <w:sz w:val="22"/>
        </w:rPr>
        <w:t>).</w:t>
      </w:r>
      <w:r w:rsidR="002D71C8" w:rsidRPr="00CE70C8">
        <w:rPr>
          <w:rFonts w:ascii="Arial" w:hAnsi="Arial" w:cs="Arial"/>
          <w:sz w:val="22"/>
        </w:rPr>
        <w:t xml:space="preserve"> </w:t>
      </w:r>
    </w:p>
    <w:p w14:paraId="7C26635F" w14:textId="77777777" w:rsidR="004B4971" w:rsidRPr="00CE70C8" w:rsidRDefault="004B4971" w:rsidP="00DC77EF">
      <w:pPr>
        <w:jc w:val="left"/>
        <w:rPr>
          <w:rFonts w:ascii="Arial" w:hAnsi="Arial" w:cs="Arial"/>
          <w:b/>
          <w:bCs/>
          <w:sz w:val="22"/>
          <w:lang w:val="en-GB"/>
        </w:rPr>
      </w:pPr>
    </w:p>
    <w:p w14:paraId="39055D6D" w14:textId="0E73F3AF" w:rsidR="006F1957" w:rsidRPr="00CE70C8" w:rsidRDefault="00FC5A5E" w:rsidP="00DC77EF">
      <w:pPr>
        <w:jc w:val="left"/>
        <w:rPr>
          <w:rFonts w:ascii="Arial" w:hAnsi="Arial" w:cs="Arial"/>
          <w:b/>
          <w:bCs/>
          <w:color w:val="FF0000"/>
          <w:sz w:val="22"/>
          <w:lang w:val="en-GB"/>
        </w:rPr>
      </w:pPr>
      <w:r w:rsidRPr="00CE70C8">
        <w:rPr>
          <w:rFonts w:ascii="Arial" w:hAnsi="Arial" w:cs="Arial"/>
          <w:b/>
          <w:bCs/>
          <w:sz w:val="22"/>
          <w:lang w:val="en-GB"/>
        </w:rPr>
        <w:t xml:space="preserve">Conclusion: </w:t>
      </w:r>
      <w:r w:rsidR="005D1536" w:rsidRPr="00CE70C8">
        <w:rPr>
          <w:rFonts w:ascii="Arial" w:hAnsi="Arial" w:cs="Arial"/>
          <w:sz w:val="22"/>
          <w:lang w:val="en-GB"/>
        </w:rPr>
        <w:t>In</w:t>
      </w:r>
      <w:r w:rsidR="005D1536" w:rsidRPr="00CE70C8">
        <w:rPr>
          <w:rFonts w:ascii="Arial" w:hAnsi="Arial" w:cs="Arial"/>
          <w:b/>
          <w:bCs/>
          <w:sz w:val="22"/>
          <w:lang w:val="en-GB"/>
        </w:rPr>
        <w:t xml:space="preserve"> </w:t>
      </w:r>
      <w:proofErr w:type="gramStart"/>
      <w:r w:rsidR="005D1536" w:rsidRPr="00CE70C8">
        <w:rPr>
          <w:rFonts w:ascii="Arial" w:hAnsi="Arial" w:cs="Arial"/>
          <w:color w:val="000000" w:themeColor="text1"/>
          <w:sz w:val="22"/>
        </w:rPr>
        <w:t>n</w:t>
      </w:r>
      <w:r w:rsidR="00834429" w:rsidRPr="00CE70C8">
        <w:rPr>
          <w:rFonts w:ascii="Arial" w:hAnsi="Arial" w:cs="Arial"/>
          <w:color w:val="000000" w:themeColor="text1"/>
          <w:sz w:val="22"/>
        </w:rPr>
        <w:t>ewly</w:t>
      </w:r>
      <w:r w:rsidR="00551739">
        <w:rPr>
          <w:rFonts w:ascii="Arial" w:hAnsi="Arial" w:cs="Arial"/>
          <w:color w:val="000000" w:themeColor="text1"/>
          <w:sz w:val="22"/>
        </w:rPr>
        <w:t>-</w:t>
      </w:r>
      <w:r w:rsidR="00834429" w:rsidRPr="00CE70C8">
        <w:rPr>
          <w:rFonts w:ascii="Arial" w:hAnsi="Arial" w:cs="Arial"/>
          <w:color w:val="000000" w:themeColor="text1"/>
          <w:sz w:val="22"/>
        </w:rPr>
        <w:t>diagnosed</w:t>
      </w:r>
      <w:proofErr w:type="gramEnd"/>
      <w:r w:rsidR="009A61E9" w:rsidRPr="00CE70C8">
        <w:rPr>
          <w:rFonts w:ascii="Arial" w:hAnsi="Arial" w:cs="Arial"/>
          <w:color w:val="000000" w:themeColor="text1"/>
          <w:sz w:val="22"/>
        </w:rPr>
        <w:t>,</w:t>
      </w:r>
      <w:r w:rsidR="009A61E9" w:rsidRPr="00CE70C8">
        <w:rPr>
          <w:rFonts w:ascii="Arial" w:hAnsi="Arial" w:cs="Arial"/>
          <w:sz w:val="22"/>
          <w:lang w:val="en-GB"/>
        </w:rPr>
        <w:t xml:space="preserve"> </w:t>
      </w:r>
      <w:r w:rsidR="009E3D0D" w:rsidRPr="00CE70C8">
        <w:rPr>
          <w:rFonts w:ascii="Arial" w:hAnsi="Arial" w:cs="Arial"/>
          <w:color w:val="000000" w:themeColor="text1"/>
          <w:sz w:val="22"/>
        </w:rPr>
        <w:t xml:space="preserve">treatment-naïve Han Chinese </w:t>
      </w:r>
      <w:r w:rsidR="001E2F10" w:rsidRPr="00CE70C8">
        <w:rPr>
          <w:rFonts w:ascii="Arial" w:hAnsi="Arial" w:cs="Arial"/>
          <w:color w:val="000000" w:themeColor="text1"/>
          <w:sz w:val="22"/>
        </w:rPr>
        <w:t xml:space="preserve">with </w:t>
      </w:r>
      <w:proofErr w:type="gramStart"/>
      <w:r w:rsidR="001E2F10" w:rsidRPr="00CE70C8">
        <w:rPr>
          <w:rFonts w:ascii="Arial" w:hAnsi="Arial" w:cs="Arial"/>
          <w:color w:val="000000" w:themeColor="text1"/>
          <w:sz w:val="22"/>
        </w:rPr>
        <w:t>poorly-controlled</w:t>
      </w:r>
      <w:proofErr w:type="gramEnd"/>
      <w:r w:rsidR="001E2F10" w:rsidRPr="00CE70C8">
        <w:rPr>
          <w:rFonts w:ascii="Arial" w:hAnsi="Arial" w:cs="Arial"/>
          <w:color w:val="000000" w:themeColor="text1"/>
          <w:sz w:val="22"/>
        </w:rPr>
        <w:t xml:space="preserve"> </w:t>
      </w:r>
      <w:r w:rsidR="009E3D0D" w:rsidRPr="00CE70C8">
        <w:rPr>
          <w:rFonts w:ascii="Arial" w:hAnsi="Arial" w:cs="Arial"/>
          <w:color w:val="000000" w:themeColor="text1"/>
          <w:sz w:val="22"/>
        </w:rPr>
        <w:t>T2D</w:t>
      </w:r>
      <w:r w:rsidR="008261F8" w:rsidRPr="00CE70C8">
        <w:rPr>
          <w:rFonts w:ascii="Arial" w:hAnsi="Arial" w:cs="Arial"/>
          <w:color w:val="000000" w:themeColor="text1"/>
          <w:sz w:val="22"/>
        </w:rPr>
        <w:t>, the</w:t>
      </w:r>
      <w:r w:rsidR="009E3D0D" w:rsidRPr="00CE70C8">
        <w:rPr>
          <w:rFonts w:ascii="Arial" w:hAnsi="Arial" w:cs="Arial"/>
          <w:color w:val="000000" w:themeColor="text1"/>
          <w:sz w:val="22"/>
        </w:rPr>
        <w:t xml:space="preserve"> </w:t>
      </w:r>
      <w:r w:rsidR="0027415B" w:rsidRPr="00CE70C8">
        <w:rPr>
          <w:rFonts w:ascii="Arial" w:hAnsi="Arial" w:cs="Arial"/>
          <w:color w:val="000000" w:themeColor="text1"/>
          <w:sz w:val="22"/>
        </w:rPr>
        <w:t xml:space="preserve">serum </w:t>
      </w:r>
      <w:r w:rsidR="000F44D1" w:rsidRPr="00CE70C8">
        <w:rPr>
          <w:rFonts w:ascii="Arial" w:hAnsi="Arial" w:cs="Arial"/>
          <w:color w:val="000000" w:themeColor="text1"/>
          <w:sz w:val="22"/>
        </w:rPr>
        <w:t xml:space="preserve">BA </w:t>
      </w:r>
      <w:r w:rsidR="003F1FB8" w:rsidRPr="00CE70C8">
        <w:rPr>
          <w:rFonts w:ascii="Arial" w:hAnsi="Arial" w:cs="Arial"/>
          <w:color w:val="000000" w:themeColor="text1"/>
          <w:sz w:val="22"/>
        </w:rPr>
        <w:t>response to</w:t>
      </w:r>
      <w:r w:rsidR="0027415B" w:rsidRPr="00CE70C8">
        <w:rPr>
          <w:rFonts w:ascii="Arial" w:hAnsi="Arial" w:cs="Arial"/>
          <w:color w:val="000000" w:themeColor="text1"/>
          <w:sz w:val="22"/>
        </w:rPr>
        <w:t xml:space="preserve"> oral glucose </w:t>
      </w:r>
      <w:r w:rsidR="00D14B94" w:rsidRPr="00CE70C8">
        <w:rPr>
          <w:rFonts w:ascii="Arial" w:hAnsi="Arial" w:cs="Arial"/>
          <w:color w:val="000000" w:themeColor="text1"/>
          <w:sz w:val="22"/>
        </w:rPr>
        <w:t xml:space="preserve">is </w:t>
      </w:r>
      <w:r w:rsidR="00C33067" w:rsidRPr="00CE70C8">
        <w:rPr>
          <w:rFonts w:ascii="Arial" w:hAnsi="Arial" w:cs="Arial"/>
          <w:color w:val="000000" w:themeColor="text1"/>
          <w:sz w:val="22"/>
        </w:rPr>
        <w:t>increased</w:t>
      </w:r>
      <w:r w:rsidR="000F44D1" w:rsidRPr="00CE70C8">
        <w:rPr>
          <w:rFonts w:ascii="Arial" w:hAnsi="Arial" w:cs="Arial"/>
          <w:color w:val="000000" w:themeColor="text1"/>
          <w:sz w:val="22"/>
        </w:rPr>
        <w:t xml:space="preserve">, which is </w:t>
      </w:r>
      <w:r w:rsidR="0027415B" w:rsidRPr="00CE70C8">
        <w:rPr>
          <w:rFonts w:ascii="Arial" w:hAnsi="Arial" w:cs="Arial"/>
          <w:color w:val="000000" w:themeColor="text1"/>
          <w:sz w:val="22"/>
        </w:rPr>
        <w:t>associated</w:t>
      </w:r>
      <w:r w:rsidR="000F44D1" w:rsidRPr="00CE70C8">
        <w:rPr>
          <w:rFonts w:ascii="Arial" w:hAnsi="Arial" w:cs="Arial"/>
          <w:color w:val="000000" w:themeColor="text1"/>
          <w:sz w:val="22"/>
        </w:rPr>
        <w:t xml:space="preserve"> </w:t>
      </w:r>
      <w:r w:rsidR="0027415B" w:rsidRPr="00CE70C8">
        <w:rPr>
          <w:rFonts w:ascii="Arial" w:hAnsi="Arial" w:cs="Arial"/>
          <w:color w:val="000000" w:themeColor="text1"/>
          <w:sz w:val="22"/>
        </w:rPr>
        <w:t>with</w:t>
      </w:r>
      <w:r w:rsidR="000F44D1" w:rsidRPr="00CE70C8">
        <w:rPr>
          <w:rFonts w:ascii="Arial" w:hAnsi="Arial" w:cs="Arial"/>
          <w:color w:val="000000" w:themeColor="text1"/>
          <w:sz w:val="22"/>
        </w:rPr>
        <w:t xml:space="preserve"> insulin resistance</w:t>
      </w:r>
      <w:r w:rsidR="003F1FB8" w:rsidRPr="00CE70C8">
        <w:rPr>
          <w:rFonts w:ascii="Arial" w:hAnsi="Arial" w:cs="Arial"/>
          <w:color w:val="000000" w:themeColor="text1"/>
          <w:sz w:val="22"/>
        </w:rPr>
        <w:t xml:space="preserve"> </w:t>
      </w:r>
      <w:r w:rsidR="00D14B94" w:rsidRPr="00CE70C8">
        <w:rPr>
          <w:rFonts w:ascii="Arial" w:hAnsi="Arial" w:cs="Arial"/>
          <w:color w:val="000000" w:themeColor="text1"/>
          <w:sz w:val="22"/>
        </w:rPr>
        <w:t>and</w:t>
      </w:r>
      <w:r w:rsidR="008B1943" w:rsidRPr="00CE70C8">
        <w:rPr>
          <w:rFonts w:ascii="Arial" w:hAnsi="Arial" w:cs="Arial"/>
          <w:color w:val="000000" w:themeColor="text1"/>
          <w:sz w:val="22"/>
        </w:rPr>
        <w:t xml:space="preserve"> </w:t>
      </w:r>
      <w:r w:rsidR="003F1FB8" w:rsidRPr="00CE70C8">
        <w:rPr>
          <w:rFonts w:ascii="Arial" w:hAnsi="Arial" w:cs="Arial"/>
          <w:color w:val="000000" w:themeColor="text1"/>
          <w:sz w:val="22"/>
        </w:rPr>
        <w:t>attenuated by</w:t>
      </w:r>
      <w:r w:rsidR="000D3DA2" w:rsidRPr="00CE70C8">
        <w:rPr>
          <w:rFonts w:ascii="Arial" w:hAnsi="Arial" w:cs="Arial"/>
          <w:color w:val="000000" w:themeColor="text1"/>
          <w:sz w:val="22"/>
        </w:rPr>
        <w:t xml:space="preserve"> insulin pump therapy</w:t>
      </w:r>
      <w:r w:rsidR="004717E4">
        <w:rPr>
          <w:rFonts w:ascii="Arial" w:hAnsi="Arial" w:cs="Arial"/>
          <w:color w:val="000000" w:themeColor="text1"/>
          <w:sz w:val="22"/>
        </w:rPr>
        <w:t>.</w:t>
      </w:r>
      <w:r w:rsidR="00D14B94" w:rsidRPr="00CE70C8">
        <w:rPr>
          <w:rFonts w:ascii="Arial" w:hAnsi="Arial" w:cs="Arial"/>
          <w:color w:val="000000" w:themeColor="text1"/>
          <w:sz w:val="22"/>
        </w:rPr>
        <w:t xml:space="preserve"> These observations </w:t>
      </w:r>
      <w:r w:rsidR="002D1ED9">
        <w:rPr>
          <w:rFonts w:ascii="Arial" w:hAnsi="Arial" w:cs="Arial"/>
          <w:color w:val="000000" w:themeColor="text1"/>
          <w:sz w:val="22"/>
        </w:rPr>
        <w:t>highlight</w:t>
      </w:r>
      <w:r w:rsidR="00981EAE" w:rsidRPr="00CE70C8">
        <w:rPr>
          <w:rFonts w:ascii="Arial" w:hAnsi="Arial" w:cs="Arial"/>
          <w:color w:val="000000" w:themeColor="text1"/>
          <w:sz w:val="22"/>
        </w:rPr>
        <w:t xml:space="preserve"> </w:t>
      </w:r>
      <w:r w:rsidR="00837E38" w:rsidRPr="00CE70C8">
        <w:rPr>
          <w:rFonts w:ascii="Arial" w:hAnsi="Arial" w:cs="Arial"/>
          <w:color w:val="000000" w:themeColor="text1"/>
          <w:sz w:val="22"/>
        </w:rPr>
        <w:t xml:space="preserve">a close </w:t>
      </w:r>
      <w:r w:rsidR="004717E4">
        <w:rPr>
          <w:rFonts w:ascii="Arial" w:hAnsi="Arial" w:cs="Arial"/>
          <w:color w:val="000000" w:themeColor="text1"/>
          <w:sz w:val="22"/>
        </w:rPr>
        <w:t>link</w:t>
      </w:r>
      <w:r w:rsidR="00551739" w:rsidRPr="00CE70C8">
        <w:rPr>
          <w:rFonts w:ascii="Arial" w:hAnsi="Arial" w:cs="Arial"/>
          <w:color w:val="000000" w:themeColor="text1"/>
          <w:sz w:val="22"/>
        </w:rPr>
        <w:t xml:space="preserve"> </w:t>
      </w:r>
      <w:r w:rsidR="00837E38" w:rsidRPr="00CE70C8">
        <w:rPr>
          <w:rFonts w:ascii="Arial" w:hAnsi="Arial" w:cs="Arial"/>
          <w:color w:val="000000" w:themeColor="text1"/>
          <w:sz w:val="22"/>
        </w:rPr>
        <w:t>between BA</w:t>
      </w:r>
      <w:r w:rsidR="003F1FB8" w:rsidRPr="00CE70C8">
        <w:rPr>
          <w:rFonts w:ascii="Arial" w:hAnsi="Arial" w:cs="Arial"/>
          <w:color w:val="000000" w:themeColor="text1"/>
          <w:sz w:val="22"/>
        </w:rPr>
        <w:t>s</w:t>
      </w:r>
      <w:r w:rsidR="00837E38" w:rsidRPr="00CE70C8">
        <w:rPr>
          <w:rFonts w:ascii="Arial" w:hAnsi="Arial" w:cs="Arial"/>
          <w:color w:val="000000" w:themeColor="text1"/>
          <w:sz w:val="22"/>
        </w:rPr>
        <w:t xml:space="preserve"> and glucose metabolism</w:t>
      </w:r>
      <w:r w:rsidR="000D3DA2" w:rsidRPr="00CE70C8">
        <w:rPr>
          <w:rFonts w:ascii="Arial" w:hAnsi="Arial" w:cs="Arial"/>
          <w:color w:val="000000" w:themeColor="text1"/>
          <w:sz w:val="22"/>
        </w:rPr>
        <w:t>.</w:t>
      </w:r>
    </w:p>
    <w:p w14:paraId="4123582C" w14:textId="77777777" w:rsidR="006F1957" w:rsidRPr="00CE70C8" w:rsidRDefault="006F1957" w:rsidP="00DC77EF">
      <w:pPr>
        <w:jc w:val="left"/>
        <w:rPr>
          <w:rFonts w:ascii="Arial" w:hAnsi="Arial" w:cs="Arial"/>
          <w:sz w:val="22"/>
          <w:lang w:val="en-GB"/>
        </w:rPr>
      </w:pPr>
    </w:p>
    <w:p w14:paraId="21568D61" w14:textId="74053D43" w:rsidR="00AA1402" w:rsidRPr="00CE70C8" w:rsidRDefault="002D1ED9" w:rsidP="00DC77EF">
      <w:pPr>
        <w:jc w:val="left"/>
        <w:rPr>
          <w:rFonts w:ascii="Arial" w:hAnsi="Arial" w:cs="Arial"/>
          <w:b/>
          <w:bCs/>
          <w:sz w:val="22"/>
          <w:lang w:val="en-GB"/>
        </w:rPr>
      </w:pPr>
      <w:r w:rsidRPr="00CE70C8">
        <w:rPr>
          <w:rFonts w:ascii="Arial" w:hAnsi="Arial" w:cs="Arial"/>
          <w:b/>
          <w:bCs/>
          <w:noProof/>
          <w:sz w:val="22"/>
          <w:lang w:val="en-GB"/>
        </w:rPr>
        <w:object w:dxaOrig="10730" w:dyaOrig="4356" w14:anchorId="6414D2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5.6pt;height:168.25pt;mso-width-percent:0;mso-height-percent:0;mso-width-percent:0;mso-height-percent:0" o:ole="" filled="t">
            <v:imagedata r:id="rId10" o:title=""/>
          </v:shape>
          <o:OLEObject Type="Embed" ProgID="Prism10.Document" ShapeID="_x0000_i1025" DrawAspect="Content" ObjectID="_1833958933" r:id="rId11"/>
        </w:object>
      </w:r>
    </w:p>
    <w:p w14:paraId="7E79A932" w14:textId="77777777" w:rsidR="00AA1402" w:rsidRPr="00CE70C8" w:rsidRDefault="00AA1402" w:rsidP="00DC77EF">
      <w:pPr>
        <w:jc w:val="left"/>
        <w:rPr>
          <w:rFonts w:ascii="Arial" w:hAnsi="Arial" w:cs="Arial"/>
          <w:b/>
          <w:bCs/>
          <w:sz w:val="22"/>
          <w:lang w:val="en-GB"/>
        </w:rPr>
      </w:pPr>
    </w:p>
    <w:sectPr w:rsidR="00AA1402" w:rsidRPr="00CE7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EB9F" w14:textId="77777777" w:rsidR="001574D2" w:rsidRDefault="001574D2" w:rsidP="00FC5A5E">
      <w:r>
        <w:separator/>
      </w:r>
    </w:p>
  </w:endnote>
  <w:endnote w:type="continuationSeparator" w:id="0">
    <w:p w14:paraId="379E8910" w14:textId="77777777" w:rsidR="001574D2" w:rsidRDefault="001574D2" w:rsidP="00FC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FD34" w14:textId="77777777" w:rsidR="001574D2" w:rsidRDefault="001574D2" w:rsidP="00FC5A5E">
      <w:r>
        <w:separator/>
      </w:r>
    </w:p>
  </w:footnote>
  <w:footnote w:type="continuationSeparator" w:id="0">
    <w:p w14:paraId="12E0F900" w14:textId="77777777" w:rsidR="001574D2" w:rsidRDefault="001574D2" w:rsidP="00FC5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5F"/>
    <w:rsid w:val="000237C8"/>
    <w:rsid w:val="00023A31"/>
    <w:rsid w:val="00024287"/>
    <w:rsid w:val="00027D2A"/>
    <w:rsid w:val="00033BA3"/>
    <w:rsid w:val="00043286"/>
    <w:rsid w:val="00045364"/>
    <w:rsid w:val="00051BC4"/>
    <w:rsid w:val="00052FB0"/>
    <w:rsid w:val="000613BC"/>
    <w:rsid w:val="00082856"/>
    <w:rsid w:val="000865B8"/>
    <w:rsid w:val="0009704F"/>
    <w:rsid w:val="0009759C"/>
    <w:rsid w:val="00097BEE"/>
    <w:rsid w:val="00097D9B"/>
    <w:rsid w:val="000A08FE"/>
    <w:rsid w:val="000B1280"/>
    <w:rsid w:val="000B2B16"/>
    <w:rsid w:val="000B6137"/>
    <w:rsid w:val="000C68A2"/>
    <w:rsid w:val="000C711F"/>
    <w:rsid w:val="000D3DA2"/>
    <w:rsid w:val="000E21B3"/>
    <w:rsid w:val="000E31AC"/>
    <w:rsid w:val="000E3C1B"/>
    <w:rsid w:val="000F1232"/>
    <w:rsid w:val="000F44D1"/>
    <w:rsid w:val="000F62A5"/>
    <w:rsid w:val="00105098"/>
    <w:rsid w:val="00112189"/>
    <w:rsid w:val="001135DE"/>
    <w:rsid w:val="00124868"/>
    <w:rsid w:val="00133671"/>
    <w:rsid w:val="001341A2"/>
    <w:rsid w:val="00134BE8"/>
    <w:rsid w:val="001412E6"/>
    <w:rsid w:val="00146E21"/>
    <w:rsid w:val="0015002C"/>
    <w:rsid w:val="00153516"/>
    <w:rsid w:val="001574D2"/>
    <w:rsid w:val="0018120D"/>
    <w:rsid w:val="00196D65"/>
    <w:rsid w:val="001A0737"/>
    <w:rsid w:val="001A24CB"/>
    <w:rsid w:val="001B263E"/>
    <w:rsid w:val="001C2A20"/>
    <w:rsid w:val="001D25FC"/>
    <w:rsid w:val="001D34D8"/>
    <w:rsid w:val="001D5046"/>
    <w:rsid w:val="001D7E21"/>
    <w:rsid w:val="001E2F10"/>
    <w:rsid w:val="001F25F2"/>
    <w:rsid w:val="001F4073"/>
    <w:rsid w:val="001F66C6"/>
    <w:rsid w:val="00205DF6"/>
    <w:rsid w:val="00216F37"/>
    <w:rsid w:val="00220FA1"/>
    <w:rsid w:val="002316D9"/>
    <w:rsid w:val="0024342E"/>
    <w:rsid w:val="002443CB"/>
    <w:rsid w:val="00247EE2"/>
    <w:rsid w:val="002678C2"/>
    <w:rsid w:val="0027415B"/>
    <w:rsid w:val="00280242"/>
    <w:rsid w:val="00292BED"/>
    <w:rsid w:val="0029551E"/>
    <w:rsid w:val="002A0F41"/>
    <w:rsid w:val="002B065D"/>
    <w:rsid w:val="002B7EA4"/>
    <w:rsid w:val="002C35F9"/>
    <w:rsid w:val="002D1ED9"/>
    <w:rsid w:val="002D517F"/>
    <w:rsid w:val="002D71C8"/>
    <w:rsid w:val="002E2134"/>
    <w:rsid w:val="002E3C17"/>
    <w:rsid w:val="002F6C43"/>
    <w:rsid w:val="00302274"/>
    <w:rsid w:val="00303F4D"/>
    <w:rsid w:val="00307A08"/>
    <w:rsid w:val="003100F3"/>
    <w:rsid w:val="0032207D"/>
    <w:rsid w:val="00345692"/>
    <w:rsid w:val="00350D4B"/>
    <w:rsid w:val="00354E21"/>
    <w:rsid w:val="00365244"/>
    <w:rsid w:val="00370620"/>
    <w:rsid w:val="00387054"/>
    <w:rsid w:val="00387EA5"/>
    <w:rsid w:val="00395620"/>
    <w:rsid w:val="003A2FAE"/>
    <w:rsid w:val="003A567E"/>
    <w:rsid w:val="003B0E0D"/>
    <w:rsid w:val="003B202B"/>
    <w:rsid w:val="003B546B"/>
    <w:rsid w:val="003C79E1"/>
    <w:rsid w:val="003F0A5D"/>
    <w:rsid w:val="003F1FB8"/>
    <w:rsid w:val="003F516F"/>
    <w:rsid w:val="00404318"/>
    <w:rsid w:val="004047D2"/>
    <w:rsid w:val="00414FF3"/>
    <w:rsid w:val="00421830"/>
    <w:rsid w:val="00422FA7"/>
    <w:rsid w:val="0042597F"/>
    <w:rsid w:val="00430F81"/>
    <w:rsid w:val="00435BAD"/>
    <w:rsid w:val="00440605"/>
    <w:rsid w:val="00463F84"/>
    <w:rsid w:val="004704D9"/>
    <w:rsid w:val="004717E4"/>
    <w:rsid w:val="004753CA"/>
    <w:rsid w:val="00476921"/>
    <w:rsid w:val="004776B0"/>
    <w:rsid w:val="004850EB"/>
    <w:rsid w:val="004A35B5"/>
    <w:rsid w:val="004A716B"/>
    <w:rsid w:val="004B2D18"/>
    <w:rsid w:val="004B4971"/>
    <w:rsid w:val="004C0474"/>
    <w:rsid w:val="004C22C7"/>
    <w:rsid w:val="004C313F"/>
    <w:rsid w:val="004C4900"/>
    <w:rsid w:val="004E3AB8"/>
    <w:rsid w:val="004F470B"/>
    <w:rsid w:val="004F58AA"/>
    <w:rsid w:val="00503AC5"/>
    <w:rsid w:val="0050606F"/>
    <w:rsid w:val="005122EB"/>
    <w:rsid w:val="00513E87"/>
    <w:rsid w:val="005169F3"/>
    <w:rsid w:val="005254B1"/>
    <w:rsid w:val="00527DCD"/>
    <w:rsid w:val="005414BC"/>
    <w:rsid w:val="005503D3"/>
    <w:rsid w:val="005513A2"/>
    <w:rsid w:val="00551739"/>
    <w:rsid w:val="005556ED"/>
    <w:rsid w:val="00555862"/>
    <w:rsid w:val="00556439"/>
    <w:rsid w:val="00560349"/>
    <w:rsid w:val="005807D1"/>
    <w:rsid w:val="00580FC0"/>
    <w:rsid w:val="005A11FD"/>
    <w:rsid w:val="005C0E85"/>
    <w:rsid w:val="005C3F96"/>
    <w:rsid w:val="005C44FA"/>
    <w:rsid w:val="005C4EC5"/>
    <w:rsid w:val="005C5286"/>
    <w:rsid w:val="005D0A02"/>
    <w:rsid w:val="005D0FAA"/>
    <w:rsid w:val="005D1536"/>
    <w:rsid w:val="005E38C1"/>
    <w:rsid w:val="005E5AB6"/>
    <w:rsid w:val="005E6392"/>
    <w:rsid w:val="005E7996"/>
    <w:rsid w:val="005F794C"/>
    <w:rsid w:val="00612DB0"/>
    <w:rsid w:val="00615DEC"/>
    <w:rsid w:val="00622017"/>
    <w:rsid w:val="00626F9A"/>
    <w:rsid w:val="006300DE"/>
    <w:rsid w:val="006306EF"/>
    <w:rsid w:val="0063449A"/>
    <w:rsid w:val="0063651B"/>
    <w:rsid w:val="0064229F"/>
    <w:rsid w:val="00644174"/>
    <w:rsid w:val="00646CD7"/>
    <w:rsid w:val="00652390"/>
    <w:rsid w:val="00653810"/>
    <w:rsid w:val="0065402A"/>
    <w:rsid w:val="00655713"/>
    <w:rsid w:val="006614A7"/>
    <w:rsid w:val="00661852"/>
    <w:rsid w:val="00663937"/>
    <w:rsid w:val="00663B7B"/>
    <w:rsid w:val="00670B5E"/>
    <w:rsid w:val="006718DD"/>
    <w:rsid w:val="00672612"/>
    <w:rsid w:val="0067287D"/>
    <w:rsid w:val="00676C88"/>
    <w:rsid w:val="00682FE1"/>
    <w:rsid w:val="00683208"/>
    <w:rsid w:val="0069143E"/>
    <w:rsid w:val="006C56FB"/>
    <w:rsid w:val="006D229F"/>
    <w:rsid w:val="006E73C2"/>
    <w:rsid w:val="006E7704"/>
    <w:rsid w:val="006F1957"/>
    <w:rsid w:val="00702442"/>
    <w:rsid w:val="00705197"/>
    <w:rsid w:val="00710346"/>
    <w:rsid w:val="00712382"/>
    <w:rsid w:val="0071777C"/>
    <w:rsid w:val="00725C78"/>
    <w:rsid w:val="00727D6F"/>
    <w:rsid w:val="007339E3"/>
    <w:rsid w:val="00733AE7"/>
    <w:rsid w:val="00737352"/>
    <w:rsid w:val="007422E7"/>
    <w:rsid w:val="00742A63"/>
    <w:rsid w:val="0074499A"/>
    <w:rsid w:val="00745D8E"/>
    <w:rsid w:val="0074602E"/>
    <w:rsid w:val="00753D0F"/>
    <w:rsid w:val="00757F4D"/>
    <w:rsid w:val="00765F10"/>
    <w:rsid w:val="007706B7"/>
    <w:rsid w:val="00774766"/>
    <w:rsid w:val="007747B5"/>
    <w:rsid w:val="0077605E"/>
    <w:rsid w:val="0078593B"/>
    <w:rsid w:val="007915F9"/>
    <w:rsid w:val="007A2C05"/>
    <w:rsid w:val="007A7021"/>
    <w:rsid w:val="007D4115"/>
    <w:rsid w:val="007D57F7"/>
    <w:rsid w:val="007E38B1"/>
    <w:rsid w:val="00811577"/>
    <w:rsid w:val="00812B23"/>
    <w:rsid w:val="00813C24"/>
    <w:rsid w:val="00813D11"/>
    <w:rsid w:val="00814FF3"/>
    <w:rsid w:val="0082021C"/>
    <w:rsid w:val="008261F8"/>
    <w:rsid w:val="00830ADC"/>
    <w:rsid w:val="00832176"/>
    <w:rsid w:val="00834429"/>
    <w:rsid w:val="00835294"/>
    <w:rsid w:val="00837E38"/>
    <w:rsid w:val="008403F9"/>
    <w:rsid w:val="00842E0B"/>
    <w:rsid w:val="00844FD7"/>
    <w:rsid w:val="00846087"/>
    <w:rsid w:val="008879E7"/>
    <w:rsid w:val="00890826"/>
    <w:rsid w:val="008A0D98"/>
    <w:rsid w:val="008A0DE7"/>
    <w:rsid w:val="008A4EF6"/>
    <w:rsid w:val="008A516C"/>
    <w:rsid w:val="008A58C8"/>
    <w:rsid w:val="008B03C3"/>
    <w:rsid w:val="008B1943"/>
    <w:rsid w:val="008B42F8"/>
    <w:rsid w:val="008B6BFE"/>
    <w:rsid w:val="008C3542"/>
    <w:rsid w:val="008D37BF"/>
    <w:rsid w:val="008E2185"/>
    <w:rsid w:val="008E263A"/>
    <w:rsid w:val="008E7472"/>
    <w:rsid w:val="008F149A"/>
    <w:rsid w:val="008F1874"/>
    <w:rsid w:val="008F572C"/>
    <w:rsid w:val="008F68E3"/>
    <w:rsid w:val="00902106"/>
    <w:rsid w:val="00904630"/>
    <w:rsid w:val="009068F6"/>
    <w:rsid w:val="00910E13"/>
    <w:rsid w:val="0091312E"/>
    <w:rsid w:val="009206A0"/>
    <w:rsid w:val="00921BFB"/>
    <w:rsid w:val="0092349B"/>
    <w:rsid w:val="009264BF"/>
    <w:rsid w:val="0093094B"/>
    <w:rsid w:val="009359EB"/>
    <w:rsid w:val="0095050D"/>
    <w:rsid w:val="00954F2A"/>
    <w:rsid w:val="00967BFE"/>
    <w:rsid w:val="0097085F"/>
    <w:rsid w:val="00973A05"/>
    <w:rsid w:val="009745C7"/>
    <w:rsid w:val="00975061"/>
    <w:rsid w:val="0098006E"/>
    <w:rsid w:val="00981EAE"/>
    <w:rsid w:val="00985AF2"/>
    <w:rsid w:val="009A61E9"/>
    <w:rsid w:val="009A792C"/>
    <w:rsid w:val="009B38AF"/>
    <w:rsid w:val="009C34A9"/>
    <w:rsid w:val="009C561E"/>
    <w:rsid w:val="009C662B"/>
    <w:rsid w:val="009D051A"/>
    <w:rsid w:val="009D2624"/>
    <w:rsid w:val="009D38F4"/>
    <w:rsid w:val="009D4E06"/>
    <w:rsid w:val="009D5700"/>
    <w:rsid w:val="009E3D0D"/>
    <w:rsid w:val="009F3AE4"/>
    <w:rsid w:val="009F4008"/>
    <w:rsid w:val="00A009FB"/>
    <w:rsid w:val="00A01632"/>
    <w:rsid w:val="00A01CA7"/>
    <w:rsid w:val="00A057B9"/>
    <w:rsid w:val="00A132DE"/>
    <w:rsid w:val="00A13C76"/>
    <w:rsid w:val="00A2195F"/>
    <w:rsid w:val="00A3592E"/>
    <w:rsid w:val="00A41D37"/>
    <w:rsid w:val="00A434A1"/>
    <w:rsid w:val="00A4589C"/>
    <w:rsid w:val="00A466FF"/>
    <w:rsid w:val="00A6054D"/>
    <w:rsid w:val="00A641AC"/>
    <w:rsid w:val="00A650EF"/>
    <w:rsid w:val="00A671FE"/>
    <w:rsid w:val="00A721D3"/>
    <w:rsid w:val="00A76BB0"/>
    <w:rsid w:val="00A81F52"/>
    <w:rsid w:val="00A90FE2"/>
    <w:rsid w:val="00A91730"/>
    <w:rsid w:val="00AA1402"/>
    <w:rsid w:val="00AA16C0"/>
    <w:rsid w:val="00AA2CC3"/>
    <w:rsid w:val="00AB090C"/>
    <w:rsid w:val="00AB7D1C"/>
    <w:rsid w:val="00AD2A38"/>
    <w:rsid w:val="00AD2C9D"/>
    <w:rsid w:val="00AD4395"/>
    <w:rsid w:val="00AD75B7"/>
    <w:rsid w:val="00AD77EB"/>
    <w:rsid w:val="00AE3D30"/>
    <w:rsid w:val="00AE4CE4"/>
    <w:rsid w:val="00AF19B2"/>
    <w:rsid w:val="00AF3A12"/>
    <w:rsid w:val="00B02682"/>
    <w:rsid w:val="00B03B1A"/>
    <w:rsid w:val="00B045BF"/>
    <w:rsid w:val="00B121AA"/>
    <w:rsid w:val="00B1470B"/>
    <w:rsid w:val="00B23D2D"/>
    <w:rsid w:val="00B25A04"/>
    <w:rsid w:val="00B273C3"/>
    <w:rsid w:val="00B434DF"/>
    <w:rsid w:val="00B50242"/>
    <w:rsid w:val="00B70D2A"/>
    <w:rsid w:val="00B92C9F"/>
    <w:rsid w:val="00B92E31"/>
    <w:rsid w:val="00B94320"/>
    <w:rsid w:val="00B9455C"/>
    <w:rsid w:val="00BA16F1"/>
    <w:rsid w:val="00BA5423"/>
    <w:rsid w:val="00BA585F"/>
    <w:rsid w:val="00BA79E8"/>
    <w:rsid w:val="00BC1309"/>
    <w:rsid w:val="00BC700A"/>
    <w:rsid w:val="00BD1204"/>
    <w:rsid w:val="00BD3636"/>
    <w:rsid w:val="00BD5010"/>
    <w:rsid w:val="00BE7C99"/>
    <w:rsid w:val="00BF52F9"/>
    <w:rsid w:val="00C05C95"/>
    <w:rsid w:val="00C062B5"/>
    <w:rsid w:val="00C07E26"/>
    <w:rsid w:val="00C2026E"/>
    <w:rsid w:val="00C30053"/>
    <w:rsid w:val="00C310AB"/>
    <w:rsid w:val="00C33067"/>
    <w:rsid w:val="00C42958"/>
    <w:rsid w:val="00C45EDF"/>
    <w:rsid w:val="00C46A04"/>
    <w:rsid w:val="00C475E3"/>
    <w:rsid w:val="00C50D95"/>
    <w:rsid w:val="00C54963"/>
    <w:rsid w:val="00C54F10"/>
    <w:rsid w:val="00C56835"/>
    <w:rsid w:val="00C636AD"/>
    <w:rsid w:val="00C71175"/>
    <w:rsid w:val="00C72040"/>
    <w:rsid w:val="00C805B0"/>
    <w:rsid w:val="00C85986"/>
    <w:rsid w:val="00C908DF"/>
    <w:rsid w:val="00C943F1"/>
    <w:rsid w:val="00C95275"/>
    <w:rsid w:val="00CA50F8"/>
    <w:rsid w:val="00CA5124"/>
    <w:rsid w:val="00CB0D67"/>
    <w:rsid w:val="00CB1E13"/>
    <w:rsid w:val="00CB2D50"/>
    <w:rsid w:val="00CB46DF"/>
    <w:rsid w:val="00CC284A"/>
    <w:rsid w:val="00CE0AAF"/>
    <w:rsid w:val="00CE6455"/>
    <w:rsid w:val="00CE70C8"/>
    <w:rsid w:val="00CF0AB4"/>
    <w:rsid w:val="00CF7664"/>
    <w:rsid w:val="00D01243"/>
    <w:rsid w:val="00D01BD4"/>
    <w:rsid w:val="00D1455F"/>
    <w:rsid w:val="00D14B94"/>
    <w:rsid w:val="00D1774A"/>
    <w:rsid w:val="00D2153B"/>
    <w:rsid w:val="00D216D9"/>
    <w:rsid w:val="00D303D7"/>
    <w:rsid w:val="00D3493E"/>
    <w:rsid w:val="00D35A1C"/>
    <w:rsid w:val="00D4120B"/>
    <w:rsid w:val="00D511B2"/>
    <w:rsid w:val="00D6251E"/>
    <w:rsid w:val="00D637CD"/>
    <w:rsid w:val="00D65506"/>
    <w:rsid w:val="00D7234D"/>
    <w:rsid w:val="00D7564E"/>
    <w:rsid w:val="00D83D10"/>
    <w:rsid w:val="00D83DA2"/>
    <w:rsid w:val="00D8773E"/>
    <w:rsid w:val="00D9295C"/>
    <w:rsid w:val="00DA69E5"/>
    <w:rsid w:val="00DB79C1"/>
    <w:rsid w:val="00DC31D6"/>
    <w:rsid w:val="00DC452E"/>
    <w:rsid w:val="00DC49E1"/>
    <w:rsid w:val="00DC590D"/>
    <w:rsid w:val="00DC77EF"/>
    <w:rsid w:val="00DD0849"/>
    <w:rsid w:val="00DD5021"/>
    <w:rsid w:val="00DD6768"/>
    <w:rsid w:val="00DD681A"/>
    <w:rsid w:val="00DE3CF5"/>
    <w:rsid w:val="00DF7DEA"/>
    <w:rsid w:val="00E010E1"/>
    <w:rsid w:val="00E01F68"/>
    <w:rsid w:val="00E104D3"/>
    <w:rsid w:val="00E12698"/>
    <w:rsid w:val="00E16517"/>
    <w:rsid w:val="00E2040F"/>
    <w:rsid w:val="00E21729"/>
    <w:rsid w:val="00E27D93"/>
    <w:rsid w:val="00E3078F"/>
    <w:rsid w:val="00E31FD9"/>
    <w:rsid w:val="00E40C83"/>
    <w:rsid w:val="00E44AF2"/>
    <w:rsid w:val="00E45524"/>
    <w:rsid w:val="00E57EA4"/>
    <w:rsid w:val="00E62387"/>
    <w:rsid w:val="00E63961"/>
    <w:rsid w:val="00E673E7"/>
    <w:rsid w:val="00E768AA"/>
    <w:rsid w:val="00E902EE"/>
    <w:rsid w:val="00E932AF"/>
    <w:rsid w:val="00EB4407"/>
    <w:rsid w:val="00EC2020"/>
    <w:rsid w:val="00EC2E27"/>
    <w:rsid w:val="00EC4B6D"/>
    <w:rsid w:val="00ED2751"/>
    <w:rsid w:val="00ED2F7C"/>
    <w:rsid w:val="00ED3D24"/>
    <w:rsid w:val="00EE1952"/>
    <w:rsid w:val="00EE5E07"/>
    <w:rsid w:val="00EF37A1"/>
    <w:rsid w:val="00F05662"/>
    <w:rsid w:val="00F07F3B"/>
    <w:rsid w:val="00F213F0"/>
    <w:rsid w:val="00F2196B"/>
    <w:rsid w:val="00F30753"/>
    <w:rsid w:val="00F32DB2"/>
    <w:rsid w:val="00F36BAA"/>
    <w:rsid w:val="00F45650"/>
    <w:rsid w:val="00F4597F"/>
    <w:rsid w:val="00F510AC"/>
    <w:rsid w:val="00F52FA0"/>
    <w:rsid w:val="00F53B34"/>
    <w:rsid w:val="00F6164C"/>
    <w:rsid w:val="00F644E0"/>
    <w:rsid w:val="00F72AF1"/>
    <w:rsid w:val="00F73C1C"/>
    <w:rsid w:val="00F77846"/>
    <w:rsid w:val="00F83E7D"/>
    <w:rsid w:val="00F946E5"/>
    <w:rsid w:val="00FA1B66"/>
    <w:rsid w:val="00FB134F"/>
    <w:rsid w:val="00FB1863"/>
    <w:rsid w:val="00FB7312"/>
    <w:rsid w:val="00FC1902"/>
    <w:rsid w:val="00FC5A5E"/>
    <w:rsid w:val="00FC6A8C"/>
    <w:rsid w:val="00FD44A7"/>
    <w:rsid w:val="00FD554E"/>
    <w:rsid w:val="00F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3CB11F"/>
  <w15:chartTrackingRefBased/>
  <w15:docId w15:val="{D370D7A8-206D-4EB6-B03B-D258E9D3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A5E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95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95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95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95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95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95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9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95F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95F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95F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95F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95F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95F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219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9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9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9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5A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C5A5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C5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C5A5E"/>
    <w:rPr>
      <w:sz w:val="18"/>
      <w:szCs w:val="18"/>
    </w:rPr>
  </w:style>
  <w:style w:type="table" w:styleId="TableGrid">
    <w:name w:val="Table Grid"/>
    <w:basedOn w:val="TableNormal"/>
    <w:uiPriority w:val="39"/>
    <w:rsid w:val="009A7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A08FE"/>
  </w:style>
  <w:style w:type="character" w:styleId="CommentReference">
    <w:name w:val="annotation reference"/>
    <w:basedOn w:val="DefaultParagraphFont"/>
    <w:uiPriority w:val="99"/>
    <w:semiHidden/>
    <w:unhideWhenUsed/>
    <w:rsid w:val="005254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54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54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4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4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8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090D05-3FE7-6E48-8A4E-21A23569A6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34EE93-CF7D-4E68-AB30-D7D13CC80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AD0C4E-988E-4B3C-BC26-848C2D6F1B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95909A-6D2A-42D4-9515-D6905D6EBED1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chunjie xiang</dc:creator>
  <cp:keywords/>
  <dc:description/>
  <cp:lastModifiedBy>Tanya Yandall</cp:lastModifiedBy>
  <cp:revision>3</cp:revision>
  <dcterms:created xsi:type="dcterms:W3CDTF">2026-03-01T23:16:00Z</dcterms:created>
  <dcterms:modified xsi:type="dcterms:W3CDTF">2026-03-01T23:16:00Z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