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50053A" w14:paraId="5C38377B" w14:textId="77777777" w:rsidTr="000A28E2">
        <w:trPr>
          <w:jc w:val="center"/>
        </w:trPr>
        <w:tc>
          <w:tcPr>
            <w:tcW w:w="8640" w:type="dxa"/>
            <w:shd w:val="clear" w:color="auto" w:fill="auto"/>
          </w:tcPr>
          <w:p w14:paraId="5C44F357" w14:textId="66511357" w:rsidR="001564A4" w:rsidRPr="0050053A" w:rsidRDefault="00193FDF" w:rsidP="000A28E2">
            <w:pPr>
              <w:spacing w:before="120" w:after="120"/>
              <w:rPr>
                <w:rFonts w:ascii="Arial" w:hAnsi="Arial" w:cs="Arial"/>
                <w:b/>
                <w:sz w:val="22"/>
                <w:szCs w:val="22"/>
                <w:lang w:val="en-US" w:eastAsia="zh-CN"/>
              </w:rPr>
            </w:pPr>
            <w:r>
              <w:rPr>
                <w:rFonts w:ascii="Arial" w:hAnsi="Arial" w:cs="Arial"/>
                <w:b/>
                <w:sz w:val="22"/>
                <w:szCs w:val="22"/>
                <w:lang w:val="en-US" w:eastAsia="en-GB"/>
              </w:rPr>
              <w:t>Exploring</w:t>
            </w:r>
            <w:r w:rsidRPr="00193FDF">
              <w:rPr>
                <w:rFonts w:ascii="Arial" w:hAnsi="Arial" w:cs="Arial"/>
                <w:b/>
                <w:sz w:val="22"/>
                <w:szCs w:val="22"/>
                <w:lang w:val="en-US" w:eastAsia="en-GB"/>
              </w:rPr>
              <w:t xml:space="preserve"> </w:t>
            </w:r>
            <w:r w:rsidRPr="00193FDF">
              <w:rPr>
                <w:rFonts w:ascii="Arial" w:hAnsi="Arial" w:cs="Arial"/>
                <w:b/>
                <w:sz w:val="22"/>
                <w:szCs w:val="22"/>
                <w:lang w:val="en-US" w:eastAsia="en-GB"/>
              </w:rPr>
              <w:t xml:space="preserve">the effects and </w:t>
            </w:r>
            <w:r>
              <w:rPr>
                <w:rFonts w:ascii="Arial" w:hAnsi="Arial" w:cs="Arial"/>
                <w:b/>
                <w:sz w:val="22"/>
                <w:szCs w:val="22"/>
                <w:lang w:val="en-US" w:eastAsia="en-GB"/>
              </w:rPr>
              <w:t>resilience</w:t>
            </w:r>
            <w:r w:rsidRPr="00193FDF">
              <w:rPr>
                <w:rFonts w:ascii="Arial" w:hAnsi="Arial" w:cs="Arial"/>
                <w:b/>
                <w:sz w:val="22"/>
                <w:szCs w:val="22"/>
                <w:lang w:val="en-US" w:eastAsia="en-GB"/>
              </w:rPr>
              <w:t xml:space="preserve"> of subtropical montane cloud forests to seasonal droughts and typhoon </w:t>
            </w:r>
            <w:r>
              <w:rPr>
                <w:rFonts w:ascii="Arial" w:hAnsi="Arial" w:cs="Arial"/>
                <w:b/>
                <w:sz w:val="22"/>
                <w:szCs w:val="22"/>
                <w:lang w:val="en-US" w:eastAsia="en-GB"/>
              </w:rPr>
              <w:t>disturbances</w:t>
            </w:r>
            <w:r w:rsidRPr="00193FDF">
              <w:rPr>
                <w:rFonts w:ascii="Arial" w:hAnsi="Arial" w:cs="Arial"/>
                <w:b/>
                <w:sz w:val="22"/>
                <w:szCs w:val="22"/>
                <w:lang w:val="en-US" w:eastAsia="en-GB"/>
              </w:rPr>
              <w:t xml:space="preserve"> </w:t>
            </w:r>
            <w:r>
              <w:rPr>
                <w:rFonts w:ascii="Arial" w:hAnsi="Arial" w:cs="Arial"/>
                <w:b/>
                <w:sz w:val="22"/>
                <w:szCs w:val="22"/>
                <w:lang w:val="en-US" w:eastAsia="en-GB"/>
              </w:rPr>
              <w:t>through</w:t>
            </w:r>
            <w:r w:rsidRPr="00193FDF">
              <w:rPr>
                <w:rFonts w:ascii="Arial" w:hAnsi="Arial" w:cs="Arial"/>
                <w:b/>
                <w:sz w:val="22"/>
                <w:szCs w:val="22"/>
                <w:lang w:val="en-US" w:eastAsia="en-GB"/>
              </w:rPr>
              <w:t xml:space="preserve"> multiple</w:t>
            </w:r>
            <w:r>
              <w:rPr>
                <w:rFonts w:ascii="Arial" w:hAnsi="Arial" w:cs="Arial"/>
                <w:b/>
                <w:sz w:val="22"/>
                <w:szCs w:val="22"/>
                <w:lang w:val="en-US" w:eastAsia="en-GB"/>
              </w:rPr>
              <w:t>-</w:t>
            </w:r>
            <w:r w:rsidRPr="00193FDF">
              <w:rPr>
                <w:rFonts w:ascii="Arial" w:hAnsi="Arial" w:cs="Arial"/>
                <w:b/>
                <w:sz w:val="22"/>
                <w:szCs w:val="22"/>
                <w:lang w:val="en-US" w:eastAsia="en-GB"/>
              </w:rPr>
              <w:t>scale</w:t>
            </w:r>
            <w:r>
              <w:rPr>
                <w:rFonts w:ascii="Arial" w:hAnsi="Arial" w:cs="Arial"/>
                <w:b/>
                <w:sz w:val="22"/>
                <w:szCs w:val="22"/>
                <w:lang w:val="en-US" w:eastAsia="en-GB"/>
              </w:rPr>
              <w:t xml:space="preserve"> analysis</w:t>
            </w:r>
          </w:p>
        </w:tc>
      </w:tr>
      <w:tr w:rsidR="001564A4" w:rsidRPr="0050053A" w14:paraId="6DAF615A" w14:textId="77777777" w:rsidTr="00CA7F9E">
        <w:trPr>
          <w:trHeight w:hRule="exact" w:val="11304"/>
          <w:jc w:val="center"/>
        </w:trPr>
        <w:tc>
          <w:tcPr>
            <w:tcW w:w="8640" w:type="dxa"/>
            <w:shd w:val="clear" w:color="auto" w:fill="auto"/>
          </w:tcPr>
          <w:p w14:paraId="639C0005" w14:textId="77777777" w:rsidR="001F0AC4" w:rsidRDefault="001F0AC4" w:rsidP="000A28E2">
            <w:pPr>
              <w:pStyle w:val="Pa12"/>
              <w:rPr>
                <w:rStyle w:val="A4"/>
                <w:b/>
                <w:bCs/>
              </w:rPr>
            </w:pPr>
          </w:p>
          <w:p w14:paraId="739E7937" w14:textId="669B01AC" w:rsidR="001564A4" w:rsidRPr="0050053A" w:rsidRDefault="001564A4" w:rsidP="000A28E2">
            <w:pPr>
              <w:pStyle w:val="Pa12"/>
              <w:rPr>
                <w:rStyle w:val="A4"/>
              </w:rPr>
            </w:pPr>
            <w:r>
              <w:rPr>
                <w:rStyle w:val="A4"/>
                <w:b/>
                <w:bCs/>
              </w:rPr>
              <w:t>Introduction/</w:t>
            </w:r>
            <w:r w:rsidRPr="0050053A">
              <w:rPr>
                <w:rStyle w:val="A4"/>
                <w:b/>
                <w:bCs/>
              </w:rPr>
              <w:t xml:space="preserve">Aim: </w:t>
            </w:r>
          </w:p>
          <w:p w14:paraId="2251F6D5" w14:textId="3F5DDD56" w:rsidR="001564A4" w:rsidRPr="0050053A" w:rsidRDefault="0011563E" w:rsidP="000A28E2">
            <w:pPr>
              <w:pStyle w:val="Pa12"/>
              <w:rPr>
                <w:sz w:val="22"/>
                <w:szCs w:val="22"/>
              </w:rPr>
            </w:pPr>
            <w:r w:rsidRPr="0011563E">
              <w:rPr>
                <w:sz w:val="22"/>
                <w:szCs w:val="22"/>
              </w:rPr>
              <w:t>Montane cloud forests (MCFs) are unique ecosystems frequently immersed by fog and low-stratus clouds (FLS). Climate change and elevated temperatures may amplify seasonal drought and typhoon intensity in recent decades, but their long-term impacts on MCFs remain unclear.</w:t>
            </w:r>
            <w:r w:rsidR="001564A4">
              <w:rPr>
                <w:sz w:val="22"/>
                <w:szCs w:val="22"/>
              </w:rPr>
              <w:br/>
            </w:r>
          </w:p>
          <w:p w14:paraId="3D770CF7" w14:textId="77777777" w:rsidR="001564A4" w:rsidRPr="0050053A" w:rsidRDefault="001564A4" w:rsidP="000A28E2">
            <w:pPr>
              <w:pStyle w:val="Pa12"/>
              <w:rPr>
                <w:rStyle w:val="A4"/>
                <w:bCs/>
              </w:rPr>
            </w:pPr>
          </w:p>
          <w:p w14:paraId="1B39336E" w14:textId="77777777" w:rsidR="001564A4" w:rsidRPr="0050053A" w:rsidRDefault="001564A4" w:rsidP="000A28E2">
            <w:pPr>
              <w:pStyle w:val="Pa12"/>
              <w:rPr>
                <w:rStyle w:val="A4"/>
                <w:b/>
                <w:bCs/>
              </w:rPr>
            </w:pPr>
            <w:r w:rsidRPr="0050053A">
              <w:rPr>
                <w:rStyle w:val="A4"/>
                <w:b/>
                <w:bCs/>
              </w:rPr>
              <w:t>Method</w:t>
            </w:r>
            <w:r>
              <w:rPr>
                <w:rStyle w:val="A4"/>
                <w:b/>
                <w:bCs/>
              </w:rPr>
              <w:t>s</w:t>
            </w:r>
            <w:r w:rsidRPr="0050053A">
              <w:rPr>
                <w:rStyle w:val="A4"/>
                <w:b/>
                <w:bCs/>
              </w:rPr>
              <w:t xml:space="preserve">: </w:t>
            </w:r>
          </w:p>
          <w:p w14:paraId="70A39F78" w14:textId="34317901" w:rsidR="0011563E" w:rsidRPr="0011563E" w:rsidRDefault="0011563E" w:rsidP="0011563E">
            <w:pPr>
              <w:pStyle w:val="Pa12"/>
            </w:pPr>
            <w:r w:rsidRPr="0011563E">
              <w:rPr>
                <w:sz w:val="22"/>
                <w:szCs w:val="22"/>
              </w:rPr>
              <w:t xml:space="preserve">In this study, we conducted cross-scale assessment using </w:t>
            </w:r>
            <w:r>
              <w:rPr>
                <w:sz w:val="22"/>
                <w:szCs w:val="22"/>
              </w:rPr>
              <w:t>6</w:t>
            </w:r>
            <w:r w:rsidRPr="0011563E">
              <w:rPr>
                <w:sz w:val="22"/>
                <w:szCs w:val="22"/>
              </w:rPr>
              <w:t xml:space="preserve">-year (2016-2021) ground litterfall and </w:t>
            </w:r>
            <w:proofErr w:type="gramStart"/>
            <w:r w:rsidRPr="0011563E">
              <w:rPr>
                <w:sz w:val="22"/>
                <w:szCs w:val="22"/>
              </w:rPr>
              <w:t>21 year</w:t>
            </w:r>
            <w:proofErr w:type="gramEnd"/>
            <w:r w:rsidRPr="0011563E">
              <w:rPr>
                <w:sz w:val="22"/>
                <w:szCs w:val="22"/>
              </w:rPr>
              <w:t xml:space="preserve"> (2001-2021) </w:t>
            </w:r>
            <w:r w:rsidRPr="00590879">
              <w:rPr>
                <w:sz w:val="22"/>
                <w:szCs w:val="22"/>
              </w:rPr>
              <w:t>satellite greenness data (the Enhanced Vegetation Index [EVI] and the EVI anomaly change [</w:t>
            </w:r>
            <w:r w:rsidRPr="00590879">
              <w:rPr>
                <w:rFonts w:cstheme="minorHAnsi"/>
                <w:sz w:val="22"/>
                <w:szCs w:val="22"/>
              </w:rPr>
              <w:sym w:font="Symbol" w:char="F044"/>
            </w:r>
            <w:r w:rsidRPr="00590879">
              <w:rPr>
                <w:sz w:val="22"/>
                <w:szCs w:val="22"/>
              </w:rPr>
              <w:t>EVI%]), gross primary productivity anomaly change (</w:t>
            </w:r>
            <w:r w:rsidRPr="00590879">
              <w:rPr>
                <w:rFonts w:cstheme="minorHAnsi"/>
                <w:sz w:val="22"/>
                <w:szCs w:val="22"/>
              </w:rPr>
              <w:sym w:font="Symbol" w:char="F044"/>
            </w:r>
            <w:r w:rsidRPr="00590879">
              <w:rPr>
                <w:sz w:val="22"/>
                <w:szCs w:val="22"/>
              </w:rPr>
              <w:t>GPP%), and meteorological variables (the standardized precipitation index [SPI] and wind speed)</w:t>
            </w:r>
            <w:r>
              <w:rPr>
                <w:sz w:val="22"/>
                <w:szCs w:val="22"/>
              </w:rPr>
              <w:t xml:space="preserve"> to</w:t>
            </w:r>
            <w:r>
              <w:t xml:space="preserve"> </w:t>
            </w:r>
            <w:r w:rsidRPr="0011563E">
              <w:rPr>
                <w:sz w:val="22"/>
                <w:szCs w:val="22"/>
              </w:rPr>
              <w:t>explor</w:t>
            </w:r>
            <w:r>
              <w:rPr>
                <w:sz w:val="22"/>
                <w:szCs w:val="22"/>
              </w:rPr>
              <w:t>e</w:t>
            </w:r>
            <w:r w:rsidRPr="0011563E">
              <w:rPr>
                <w:sz w:val="22"/>
                <w:szCs w:val="22"/>
              </w:rPr>
              <w:t xml:space="preserve"> the </w:t>
            </w:r>
            <w:r>
              <w:rPr>
                <w:sz w:val="22"/>
                <w:szCs w:val="22"/>
              </w:rPr>
              <w:t>impact</w:t>
            </w:r>
            <w:r w:rsidRPr="0011563E">
              <w:rPr>
                <w:sz w:val="22"/>
                <w:szCs w:val="22"/>
              </w:rPr>
              <w:t xml:space="preserve"> of </w:t>
            </w:r>
            <w:r>
              <w:rPr>
                <w:sz w:val="22"/>
                <w:szCs w:val="22"/>
              </w:rPr>
              <w:t xml:space="preserve">disturbance on </w:t>
            </w:r>
            <w:r w:rsidRPr="0011563E">
              <w:rPr>
                <w:sz w:val="22"/>
                <w:szCs w:val="22"/>
              </w:rPr>
              <w:t>vegetation and the overall resilience of MCFs</w:t>
            </w:r>
            <w:r w:rsidRPr="00590879">
              <w:rPr>
                <w:sz w:val="22"/>
                <w:szCs w:val="22"/>
              </w:rPr>
              <w:t>.</w:t>
            </w:r>
          </w:p>
          <w:p w14:paraId="3B078DC6" w14:textId="68FBF919" w:rsidR="0011563E" w:rsidRPr="0011563E" w:rsidRDefault="0011563E" w:rsidP="0011563E">
            <w:pPr>
              <w:pStyle w:val="Default"/>
            </w:pPr>
          </w:p>
          <w:p w14:paraId="5029BAE6" w14:textId="77777777" w:rsidR="001564A4" w:rsidRPr="0050053A" w:rsidRDefault="001564A4" w:rsidP="000A28E2">
            <w:pPr>
              <w:pStyle w:val="Pa12"/>
              <w:rPr>
                <w:rStyle w:val="A4"/>
                <w:bCs/>
              </w:rPr>
            </w:pPr>
          </w:p>
          <w:p w14:paraId="6BF3F094" w14:textId="77777777" w:rsidR="001564A4" w:rsidRPr="0050053A" w:rsidRDefault="001564A4" w:rsidP="000A28E2">
            <w:pPr>
              <w:pStyle w:val="Pa12"/>
              <w:rPr>
                <w:rStyle w:val="A4"/>
                <w:b/>
                <w:bCs/>
              </w:rPr>
            </w:pPr>
            <w:r w:rsidRPr="0050053A">
              <w:rPr>
                <w:rStyle w:val="A4"/>
                <w:b/>
                <w:bCs/>
              </w:rPr>
              <w:t xml:space="preserve">Results: </w:t>
            </w:r>
          </w:p>
          <w:p w14:paraId="0861549B" w14:textId="6B0749D0" w:rsidR="001564A4" w:rsidRPr="00904973" w:rsidRDefault="0011563E" w:rsidP="000A28E2">
            <w:pPr>
              <w:pStyle w:val="Pa12"/>
              <w:rPr>
                <w:sz w:val="22"/>
                <w:szCs w:val="22"/>
              </w:rPr>
            </w:pPr>
            <w:r w:rsidRPr="00904973">
              <w:rPr>
                <w:rFonts w:cstheme="minorHAnsi"/>
                <w:sz w:val="22"/>
                <w:szCs w:val="22"/>
              </w:rPr>
              <w:t>Our findings revealed that positive correlations between vegetation damages</w:t>
            </w:r>
            <w:r w:rsidR="00CA7F9E" w:rsidRPr="00904973">
              <w:rPr>
                <w:rFonts w:cstheme="minorHAnsi"/>
                <w:sz w:val="22"/>
                <w:szCs w:val="22"/>
              </w:rPr>
              <w:t xml:space="preserve"> (EVI and </w:t>
            </w:r>
            <w:r w:rsidR="00CA7F9E" w:rsidRPr="00904973">
              <w:rPr>
                <w:rFonts w:cstheme="minorHAnsi"/>
                <w:sz w:val="22"/>
                <w:szCs w:val="22"/>
              </w:rPr>
              <w:sym w:font="Symbol" w:char="F044"/>
            </w:r>
            <w:r w:rsidR="00CA7F9E" w:rsidRPr="00904973">
              <w:rPr>
                <w:sz w:val="22"/>
                <w:szCs w:val="22"/>
              </w:rPr>
              <w:t>EVI%</w:t>
            </w:r>
            <w:r w:rsidR="00CA7F9E" w:rsidRPr="00904973">
              <w:rPr>
                <w:rFonts w:cstheme="minorHAnsi"/>
                <w:sz w:val="22"/>
                <w:szCs w:val="22"/>
              </w:rPr>
              <w:t>)</w:t>
            </w:r>
            <w:r w:rsidRPr="00904973">
              <w:rPr>
                <w:rFonts w:cstheme="minorHAnsi" w:hint="eastAsia"/>
                <w:sz w:val="22"/>
                <w:szCs w:val="22"/>
              </w:rPr>
              <w:t>,</w:t>
            </w:r>
            <w:r w:rsidRPr="00904973">
              <w:rPr>
                <w:rFonts w:cstheme="minorHAnsi"/>
                <w:sz w:val="22"/>
                <w:szCs w:val="22"/>
              </w:rPr>
              <w:t xml:space="preserve"> productivity losses</w:t>
            </w:r>
            <w:r w:rsidR="00CA7F9E" w:rsidRPr="00904973">
              <w:rPr>
                <w:rFonts w:cstheme="minorHAnsi"/>
                <w:sz w:val="22"/>
                <w:szCs w:val="22"/>
              </w:rPr>
              <w:t xml:space="preserve"> </w:t>
            </w:r>
            <w:r w:rsidR="00CA7F9E" w:rsidRPr="00904973">
              <w:rPr>
                <w:sz w:val="22"/>
                <w:szCs w:val="22"/>
              </w:rPr>
              <w:t>(</w:t>
            </w:r>
            <w:r w:rsidR="00CA7F9E" w:rsidRPr="00904973">
              <w:rPr>
                <w:rFonts w:cstheme="minorHAnsi"/>
                <w:sz w:val="22"/>
                <w:szCs w:val="22"/>
              </w:rPr>
              <w:sym w:font="Symbol" w:char="F044"/>
            </w:r>
            <w:r w:rsidR="00CA7F9E" w:rsidRPr="00904973">
              <w:rPr>
                <w:sz w:val="22"/>
                <w:szCs w:val="22"/>
              </w:rPr>
              <w:t>GPP%)</w:t>
            </w:r>
            <w:r w:rsidRPr="00904973">
              <w:rPr>
                <w:rFonts w:cstheme="minorHAnsi"/>
                <w:sz w:val="22"/>
                <w:szCs w:val="22"/>
              </w:rPr>
              <w:t>, and drought/typhoon severities imply that amplification of these disturbances could pose a great risk to MCFs in the foreseeable future.</w:t>
            </w:r>
            <w:r w:rsidR="00CA7F9E" w:rsidRPr="00904973">
              <w:rPr>
                <w:rFonts w:cstheme="minorHAnsi"/>
                <w:sz w:val="22"/>
                <w:szCs w:val="22"/>
              </w:rPr>
              <w:t xml:space="preserve"> </w:t>
            </w:r>
            <w:r w:rsidR="00CA7F9E" w:rsidRPr="00904973">
              <w:rPr>
                <w:rFonts w:cstheme="minorHAnsi"/>
                <w:sz w:val="22"/>
                <w:szCs w:val="22"/>
              </w:rPr>
              <w:t>We found that MCFs are more susceptible to chronic seasonal drought than to acute typhoons, indicating that high precipitation and frequent fog immersion may not effectively mitigate the effect of water deficit but instead make the ecosystem more susceptible to drought.</w:t>
            </w:r>
            <w:r w:rsidR="00CA7F9E" w:rsidRPr="00904973">
              <w:rPr>
                <w:rFonts w:cstheme="minorHAnsi"/>
                <w:sz w:val="22"/>
                <w:szCs w:val="22"/>
              </w:rPr>
              <w:t xml:space="preserve"> </w:t>
            </w:r>
            <w:r w:rsidR="00CA7F9E" w:rsidRPr="00904973">
              <w:rPr>
                <w:rFonts w:cstheme="minorHAnsi"/>
                <w:sz w:val="22"/>
                <w:szCs w:val="22"/>
              </w:rPr>
              <w:t>Moreover, vegetation regrowth during the winter can be considered as a manifestation of ecological resilience in MCFs, enabling partially recovery from forest productivity losses caused by severe disturbance in the preceding summer.</w:t>
            </w:r>
            <w:r w:rsidR="00CA7F9E" w:rsidRPr="00904973">
              <w:rPr>
                <w:rFonts w:cstheme="minorHAnsi"/>
                <w:sz w:val="22"/>
                <w:szCs w:val="22"/>
              </w:rPr>
              <w:t xml:space="preserve"> </w:t>
            </w:r>
            <w:r w:rsidR="00CA7F9E" w:rsidRPr="00904973">
              <w:rPr>
                <w:rFonts w:cstheme="minorHAnsi"/>
                <w:sz w:val="22"/>
                <w:szCs w:val="22"/>
              </w:rPr>
              <w:t xml:space="preserve">Conversely, the absence of severe disturbance during summer may trigger defoliation rather than regrowth in the subsequent winter. </w:t>
            </w:r>
            <w:r w:rsidR="00CA7F9E" w:rsidRPr="00904973">
              <w:rPr>
                <w:rFonts w:cstheme="minorHAnsi" w:hint="eastAsia"/>
                <w:sz w:val="22"/>
                <w:szCs w:val="22"/>
              </w:rPr>
              <w:t>T</w:t>
            </w:r>
            <w:r w:rsidR="00CA7F9E" w:rsidRPr="00904973">
              <w:rPr>
                <w:rFonts w:cstheme="minorHAnsi"/>
                <w:sz w:val="22"/>
                <w:szCs w:val="22"/>
              </w:rPr>
              <w:t>hese phenomena highlight the capacity of MCFs for self-adjustment and resilience in response to summer perturbations.</w:t>
            </w:r>
            <w:r w:rsidR="00CA7F9E" w:rsidRPr="00904973">
              <w:rPr>
                <w:sz w:val="22"/>
                <w:szCs w:val="22"/>
              </w:rPr>
              <w:t xml:space="preserve"> </w:t>
            </w:r>
            <w:r w:rsidR="00CA7F9E" w:rsidRPr="00904973">
              <w:rPr>
                <w:rFonts w:cstheme="minorHAnsi"/>
                <w:sz w:val="22"/>
                <w:szCs w:val="22"/>
              </w:rPr>
              <w:t>In the long-term, our results indicated an increase in vegetation resilience over two decades in MCFs, likely driven by rising temperatures and elevated carbon dioxide levels.</w:t>
            </w:r>
            <w:r w:rsidR="001564A4" w:rsidRPr="00904973">
              <w:rPr>
                <w:sz w:val="22"/>
                <w:szCs w:val="22"/>
              </w:rPr>
              <w:br/>
            </w:r>
          </w:p>
          <w:p w14:paraId="68537800" w14:textId="77777777" w:rsidR="001564A4" w:rsidRPr="0050053A" w:rsidRDefault="001564A4" w:rsidP="000A28E2">
            <w:pPr>
              <w:pStyle w:val="Pa12"/>
              <w:rPr>
                <w:rStyle w:val="A4"/>
                <w:bCs/>
              </w:rPr>
            </w:pPr>
          </w:p>
          <w:p w14:paraId="652F7BE1" w14:textId="77777777" w:rsidR="001564A4" w:rsidRPr="0050053A" w:rsidRDefault="001564A4" w:rsidP="000A28E2">
            <w:pPr>
              <w:pStyle w:val="Pa12"/>
              <w:rPr>
                <w:rStyle w:val="A4"/>
                <w:b/>
                <w:bCs/>
              </w:rPr>
            </w:pPr>
            <w:r w:rsidRPr="0050053A">
              <w:rPr>
                <w:rStyle w:val="A4"/>
                <w:b/>
                <w:bCs/>
              </w:rPr>
              <w:t xml:space="preserve">Conclusion: </w:t>
            </w:r>
          </w:p>
          <w:p w14:paraId="69B04572" w14:textId="49AF7423" w:rsidR="001564A4" w:rsidRPr="00904973" w:rsidRDefault="00CA7F9E" w:rsidP="000A28E2">
            <w:pPr>
              <w:pStyle w:val="Pa12"/>
              <w:rPr>
                <w:sz w:val="22"/>
                <w:szCs w:val="22"/>
              </w:rPr>
            </w:pPr>
            <w:r w:rsidRPr="00904973">
              <w:rPr>
                <w:rFonts w:cstheme="minorHAnsi"/>
                <w:sz w:val="22"/>
                <w:szCs w:val="22"/>
              </w:rPr>
              <w:t>T</w:t>
            </w:r>
            <w:r w:rsidRPr="00904973">
              <w:rPr>
                <w:rFonts w:cstheme="minorHAnsi"/>
                <w:sz w:val="22"/>
                <w:szCs w:val="22"/>
              </w:rPr>
              <w:t>he enhancement of resilience might be overshadowed by the potential intensified droughts and typhoons in the future, potentially causing severe damage and insufficient recovery times for MCFs, thus raising concerns about uncertainties regarding their sustained resilience.</w:t>
            </w:r>
            <w:r w:rsidR="001564A4" w:rsidRPr="00904973">
              <w:rPr>
                <w:sz w:val="22"/>
                <w:szCs w:val="22"/>
              </w:rPr>
              <w:br/>
            </w:r>
          </w:p>
          <w:p w14:paraId="2A651708" w14:textId="77777777" w:rsidR="001564A4" w:rsidRPr="0050053A" w:rsidRDefault="001564A4" w:rsidP="000A28E2">
            <w:pPr>
              <w:pStyle w:val="Pa12"/>
              <w:rPr>
                <w:sz w:val="22"/>
                <w:szCs w:val="22"/>
              </w:rPr>
            </w:pPr>
          </w:p>
          <w:p w14:paraId="033167F9" w14:textId="72B9A62A" w:rsidR="001564A4" w:rsidRPr="0050053A" w:rsidRDefault="001564A4" w:rsidP="000A28E2">
            <w:pPr>
              <w:pStyle w:val="Pa12"/>
              <w:rPr>
                <w:rStyle w:val="A4"/>
                <w:bCs/>
              </w:rPr>
            </w:pPr>
          </w:p>
          <w:p w14:paraId="196E7BAC" w14:textId="79E61875" w:rsidR="00CF7FFC" w:rsidRDefault="00CF7FFC" w:rsidP="00CF7FFC">
            <w:pPr>
              <w:pStyle w:val="Pa12"/>
              <w:rPr>
                <w:sz w:val="22"/>
                <w:szCs w:val="22"/>
              </w:rPr>
            </w:pPr>
          </w:p>
          <w:p w14:paraId="7F8381F0" w14:textId="5098D1CD" w:rsidR="001564A4" w:rsidRDefault="001564A4" w:rsidP="000A28E2">
            <w:pPr>
              <w:pStyle w:val="Pa12"/>
              <w:rPr>
                <w:sz w:val="22"/>
                <w:szCs w:val="22"/>
              </w:rPr>
            </w:pP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1564A4"/>
    <w:p w14:paraId="7BCA7251" w14:textId="77777777" w:rsidR="001F0AC4" w:rsidRDefault="001F0AC4" w:rsidP="001564A4"/>
    <w:p w14:paraId="46DFB3DD" w14:textId="77777777" w:rsidR="001F0AC4" w:rsidRPr="001F0AC4" w:rsidRDefault="001F0AC4" w:rsidP="001F0AC4">
      <w:pPr>
        <w:pStyle w:val="Pa12"/>
        <w:rPr>
          <w:rStyle w:val="A4"/>
          <w:i/>
          <w:iCs/>
        </w:rPr>
      </w:pPr>
      <w:r w:rsidRPr="001F0AC4">
        <w:rPr>
          <w:rStyle w:val="A4"/>
          <w:i/>
          <w:iCs/>
        </w:rPr>
        <w:t>Please note the headings provided are optional</w:t>
      </w:r>
      <w:r>
        <w:rPr>
          <w:rStyle w:val="A4"/>
          <w:i/>
          <w:iCs/>
        </w:rPr>
        <w:t>, please remove or change to best suit your content.</w:t>
      </w:r>
    </w:p>
    <w:p w14:paraId="65A73F06" w14:textId="47B9312F" w:rsidR="001F0AC4" w:rsidRDefault="001F0AC4" w:rsidP="001564A4"/>
    <w:sectPr w:rsidR="001F0A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panose1 w:val="00000000000000000000"/>
    <w:charset w:val="00"/>
    <w:family w:val="modern"/>
    <w:notTrueType/>
    <w:pitch w:val="variable"/>
    <w:sig w:usb0="00000007" w:usb1="00000000" w:usb2="00000000" w:usb3="00000000" w:csb0="00000093"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11563E"/>
    <w:rsid w:val="001564A4"/>
    <w:rsid w:val="00193FDF"/>
    <w:rsid w:val="001F0AC4"/>
    <w:rsid w:val="0051574E"/>
    <w:rsid w:val="00590879"/>
    <w:rsid w:val="008803FA"/>
    <w:rsid w:val="00904973"/>
    <w:rsid w:val="00B12E32"/>
    <w:rsid w:val="00CA7F9E"/>
    <w:rsid w:val="00CF7FFC"/>
    <w:rsid w:val="00D50C0B"/>
    <w:rsid w:val="00E0700F"/>
  </w:rsids>
  <m:mathPr>
    <m:mathFont m:val="Cambria Math"/>
    <m:brkBin m:val="before"/>
    <m:brkBinSub m:val="--"/>
    <m:smallFrac m:val="0"/>
    <m:dispDef/>
    <m:lMargin m:val="0"/>
    <m:rMargin m:val="0"/>
    <m:defJc m:val="centerGroup"/>
    <m:wrapIndent m:val="1440"/>
    <m:intLim m:val="subSup"/>
    <m:naryLim m:val="undOvr"/>
  </m:mathPr>
  <w:themeFontLang w:val="en-NZ"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EastAsia"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64A4"/>
    <w:rPr>
      <w:rFonts w:ascii="Times New Roman" w:eastAsia="Times New Roman" w:hAnsi="Times New Roman" w:cs="Times New Roman"/>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383</Words>
  <Characters>2185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Hsueh-Ching Wang</cp:lastModifiedBy>
  <cp:revision>7</cp:revision>
  <dcterms:created xsi:type="dcterms:W3CDTF">2020-08-27T00:40:00Z</dcterms:created>
  <dcterms:modified xsi:type="dcterms:W3CDTF">2024-04-12T07:53:00Z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