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39"/>
      </w:tblGrid>
      <w:tr w:rsidR="001564A4" w:rsidRPr="0050053A" w14:paraId="5C38377B" w14:textId="77777777" w:rsidTr="009851F4">
        <w:trPr>
          <w:trHeight w:val="569"/>
          <w:jc w:val="center"/>
        </w:trPr>
        <w:tc>
          <w:tcPr>
            <w:tcW w:w="8639" w:type="dxa"/>
            <w:shd w:val="clear" w:color="auto" w:fill="auto"/>
          </w:tcPr>
          <w:p w14:paraId="5C44F357" w14:textId="0DB9AF1D" w:rsidR="001564A4" w:rsidRPr="0050053A" w:rsidRDefault="00712AC7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Telomere Length in Australian Adults with Pulmonary Fibrosis</w:t>
            </w:r>
          </w:p>
        </w:tc>
      </w:tr>
      <w:tr w:rsidR="001564A4" w:rsidRPr="0050053A" w14:paraId="0E2E035C" w14:textId="77777777" w:rsidTr="009851F4">
        <w:trPr>
          <w:trHeight w:val="1138"/>
          <w:jc w:val="center"/>
        </w:trPr>
        <w:tc>
          <w:tcPr>
            <w:tcW w:w="8639" w:type="dxa"/>
            <w:shd w:val="clear" w:color="auto" w:fill="auto"/>
          </w:tcPr>
          <w:p w14:paraId="73B55295" w14:textId="54566E8A" w:rsidR="001564A4" w:rsidRPr="00413B94" w:rsidRDefault="00194FFF" w:rsidP="000A28E2">
            <w:pPr>
              <w:spacing w:before="120" w:after="120"/>
              <w:rPr>
                <w:rFonts w:ascii="Arial" w:hAnsi="Arial" w:cs="Arial"/>
                <w:sz w:val="22"/>
                <w:szCs w:val="22"/>
                <w:u w:val="single"/>
                <w:lang w:eastAsia="zh-CN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John Mackintosh</w:t>
            </w:r>
            <w:r w:rsidR="00712AC7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1,2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 w:rsidR="00712AC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Lai-Ying Zhang</w:t>
            </w:r>
            <w:r w:rsidR="00712AC7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="00712AC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Viviana Lutzky</w:t>
            </w:r>
            <w:r w:rsidR="00712AC7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="00712AC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Maxine Tan</w:t>
            </w:r>
            <w:r w:rsidR="00712AC7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="00712AC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Simon Apte</w:t>
            </w:r>
            <w:r w:rsidR="00712AC7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="00712AC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Penelope Groves</w:t>
            </w:r>
            <w:r w:rsidR="00712AC7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="00712AC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Brendan O’Sullivan</w:t>
            </w:r>
            <w:r w:rsidR="00712AC7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="00712AC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Sarah Watson</w:t>
            </w:r>
            <w:r w:rsidR="00712AC7" w:rsidRPr="00712AC7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712AC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Olivia Dixon</w:t>
            </w:r>
            <w:r w:rsidR="00712AC7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="00712AC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, Peter Hopkins</w:t>
            </w:r>
            <w:r w:rsidR="00712AC7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1,2</w:t>
            </w:r>
            <w:r w:rsidR="00712AC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 w:rsidR="0028268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Tamera Corte</w:t>
            </w:r>
            <w:r w:rsidR="0028268E" w:rsidRPr="0028268E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 w:rsidR="003B68B9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,4</w:t>
            </w:r>
            <w:r w:rsidR="0028268E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, </w:t>
            </w:r>
            <w:r w:rsidR="00712AC7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Daniel Chambers</w:t>
            </w:r>
            <w:r w:rsidR="00712AC7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1,2</w:t>
            </w:r>
          </w:p>
        </w:tc>
      </w:tr>
      <w:tr w:rsidR="001564A4" w:rsidRPr="0050053A" w14:paraId="385A19D9" w14:textId="77777777" w:rsidTr="009851F4">
        <w:trPr>
          <w:trHeight w:val="155"/>
          <w:jc w:val="center"/>
        </w:trPr>
        <w:tc>
          <w:tcPr>
            <w:tcW w:w="8639" w:type="dxa"/>
            <w:shd w:val="clear" w:color="auto" w:fill="auto"/>
          </w:tcPr>
          <w:p w14:paraId="3F2A6D9E" w14:textId="0824B45E" w:rsidR="00FC2EA4" w:rsidRDefault="00712AC7" w:rsidP="00FC2EA4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="00FC2EA4">
              <w:t xml:space="preserve"> </w:t>
            </w:r>
            <w:r w:rsidR="00FC2EA4" w:rsidRPr="00FC2EA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Q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ueensland</w:t>
            </w:r>
            <w:r w:rsidR="00FC2EA4" w:rsidRPr="00FC2EA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Lung Transplant Service, Department of Thoracic</w:t>
            </w:r>
            <w:r w:rsidR="00FC2EA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FC2EA4" w:rsidRPr="00FC2EA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Medicine, The Prince Charles Hospital, QLD,</w:t>
            </w:r>
            <w:r w:rsidR="00FC2EA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="00FC2EA4" w:rsidRPr="00FC2EA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Australia</w:t>
            </w:r>
          </w:p>
          <w:p w14:paraId="65680952" w14:textId="77777777" w:rsidR="001564A4" w:rsidRDefault="00712AC7" w:rsidP="009C7E06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>
              <w:t xml:space="preserve"> </w:t>
            </w:r>
            <w:r w:rsidRPr="00FC2EA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School of Medicine, The University of Queensland,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</w:t>
            </w:r>
            <w:r w:rsidRPr="00FC2EA4"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>Brisbane, QLD, Australia</w:t>
            </w:r>
          </w:p>
          <w:p w14:paraId="0DDC10D5" w14:textId="257FC11D" w:rsidR="003B68B9" w:rsidRDefault="003B68B9" w:rsidP="003B68B9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3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Department of Respiratory Medicine, Royal Prince Alfred Hospital, NSW, Australia</w:t>
            </w:r>
          </w:p>
          <w:p w14:paraId="45ED36BF" w14:textId="12DB82FF" w:rsidR="003B68B9" w:rsidRPr="0050053A" w:rsidRDefault="003B68B9" w:rsidP="009C7E06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4</w:t>
            </w:r>
            <w:r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  <w:t xml:space="preserve"> School of Medicine, The University of Sydney, NSW, Australia</w:t>
            </w:r>
          </w:p>
        </w:tc>
      </w:tr>
      <w:tr w:rsidR="001564A4" w:rsidRPr="0050053A" w14:paraId="6DAF615A" w14:textId="77777777" w:rsidTr="009851F4">
        <w:trPr>
          <w:trHeight w:hRule="exact" w:val="8456"/>
          <w:jc w:val="center"/>
        </w:trPr>
        <w:tc>
          <w:tcPr>
            <w:tcW w:w="8639" w:type="dxa"/>
            <w:shd w:val="clear" w:color="auto" w:fill="auto"/>
          </w:tcPr>
          <w:p w14:paraId="6660010D" w14:textId="6654564D" w:rsidR="003B68B9" w:rsidRPr="00FC57A7" w:rsidRDefault="001564A4" w:rsidP="00FC57A7">
            <w:pPr>
              <w:pStyle w:val="Pa12"/>
              <w:rPr>
                <w:color w:val="000000"/>
                <w:sz w:val="22"/>
                <w:szCs w:val="22"/>
              </w:rPr>
            </w:pPr>
            <w:r>
              <w:rPr>
                <w:rStyle w:val="A4"/>
                <w:b/>
                <w:bCs/>
              </w:rPr>
              <w:t>Introduction/</w:t>
            </w:r>
            <w:r w:rsidRPr="0050053A">
              <w:rPr>
                <w:rStyle w:val="A4"/>
                <w:b/>
                <w:bCs/>
              </w:rPr>
              <w:t xml:space="preserve">Aim: </w:t>
            </w:r>
            <w:r w:rsidR="00712AC7">
              <w:rPr>
                <w:rStyle w:val="A4"/>
              </w:rPr>
              <w:t>Telomere shortening is identified in a significant number of adults with various forms of pulmonary fibrosis</w:t>
            </w:r>
            <w:r w:rsidR="00435082">
              <w:rPr>
                <w:rStyle w:val="A4"/>
              </w:rPr>
              <w:t xml:space="preserve"> (PF)</w:t>
            </w:r>
            <w:r w:rsidR="00712AC7">
              <w:rPr>
                <w:rStyle w:val="A4"/>
              </w:rPr>
              <w:t xml:space="preserve">. </w:t>
            </w:r>
            <w:r w:rsidR="00830D24">
              <w:rPr>
                <w:rStyle w:val="A4"/>
              </w:rPr>
              <w:t xml:space="preserve">Telomere length less than the </w:t>
            </w:r>
            <w:r w:rsidR="004B29A4">
              <w:rPr>
                <w:rStyle w:val="A4"/>
              </w:rPr>
              <w:t>tenth</w:t>
            </w:r>
            <w:r w:rsidR="00830D24">
              <w:rPr>
                <w:rStyle w:val="A4"/>
              </w:rPr>
              <w:t xml:space="preserve"> centile for age has been associated with worse outcomes across idiopathic pulmonary fibrosis</w:t>
            </w:r>
            <w:r w:rsidR="009D026A">
              <w:rPr>
                <w:rStyle w:val="A4"/>
              </w:rPr>
              <w:t xml:space="preserve"> (IPF)</w:t>
            </w:r>
            <w:r w:rsidR="00830D24">
              <w:rPr>
                <w:rStyle w:val="A4"/>
              </w:rPr>
              <w:t>, fibrotic hypersensitivity pneumonitis</w:t>
            </w:r>
            <w:r w:rsidR="009D026A">
              <w:rPr>
                <w:rStyle w:val="A4"/>
              </w:rPr>
              <w:t xml:space="preserve"> (</w:t>
            </w:r>
            <w:proofErr w:type="spellStart"/>
            <w:r w:rsidR="009D026A">
              <w:rPr>
                <w:rStyle w:val="A4"/>
              </w:rPr>
              <w:t>fHP</w:t>
            </w:r>
            <w:proofErr w:type="spellEnd"/>
            <w:r w:rsidR="009D026A">
              <w:rPr>
                <w:rStyle w:val="A4"/>
              </w:rPr>
              <w:t>)</w:t>
            </w:r>
            <w:r w:rsidR="00830D24">
              <w:rPr>
                <w:rStyle w:val="A4"/>
              </w:rPr>
              <w:t xml:space="preserve"> and unclassifiable interstitial lung disease</w:t>
            </w:r>
            <w:r w:rsidR="009D026A">
              <w:rPr>
                <w:rStyle w:val="A4"/>
              </w:rPr>
              <w:t xml:space="preserve"> (</w:t>
            </w:r>
            <w:proofErr w:type="spellStart"/>
            <w:r w:rsidR="009D026A">
              <w:rPr>
                <w:rStyle w:val="A4"/>
              </w:rPr>
              <w:t>uILD</w:t>
            </w:r>
            <w:proofErr w:type="spellEnd"/>
            <w:r w:rsidR="009D026A">
              <w:rPr>
                <w:rStyle w:val="A4"/>
              </w:rPr>
              <w:t>)</w:t>
            </w:r>
            <w:r w:rsidR="00830D24">
              <w:rPr>
                <w:rStyle w:val="A4"/>
              </w:rPr>
              <w:t xml:space="preserve">. The aim of this study was to define the prevalence and impact of telomere shortening in adults referred to a tertiary Australian </w:t>
            </w:r>
            <w:r w:rsidR="00435082">
              <w:rPr>
                <w:rStyle w:val="A4"/>
              </w:rPr>
              <w:t>PF</w:t>
            </w:r>
            <w:r w:rsidR="00830D24">
              <w:rPr>
                <w:rStyle w:val="A4"/>
              </w:rPr>
              <w:t xml:space="preserve"> clinic. </w:t>
            </w:r>
          </w:p>
          <w:p w14:paraId="24EDB3B5" w14:textId="34731263" w:rsidR="003B68B9" w:rsidRPr="00FC57A7" w:rsidRDefault="001564A4" w:rsidP="00FC57A7">
            <w:pPr>
              <w:pStyle w:val="Pa12"/>
              <w:rPr>
                <w:color w:val="000000"/>
                <w:sz w:val="22"/>
                <w:szCs w:val="22"/>
              </w:rPr>
            </w:pPr>
            <w:r w:rsidRPr="0050053A">
              <w:rPr>
                <w:rStyle w:val="A4"/>
                <w:b/>
                <w:bCs/>
              </w:rPr>
              <w:t>Method</w:t>
            </w:r>
            <w:r>
              <w:rPr>
                <w:rStyle w:val="A4"/>
                <w:b/>
                <w:bCs/>
              </w:rPr>
              <w:t>s</w:t>
            </w:r>
            <w:r w:rsidRPr="0050053A">
              <w:rPr>
                <w:rStyle w:val="A4"/>
                <w:b/>
                <w:bCs/>
              </w:rPr>
              <w:t xml:space="preserve">: </w:t>
            </w:r>
            <w:r w:rsidR="00830D24">
              <w:rPr>
                <w:rStyle w:val="A4"/>
              </w:rPr>
              <w:t xml:space="preserve">Telomere length was measured using an in-house Flow-FISH assay, both prospectively and retrospectively, in adult patients with </w:t>
            </w:r>
            <w:r w:rsidR="00435082">
              <w:rPr>
                <w:rStyle w:val="A4"/>
              </w:rPr>
              <w:t>PF</w:t>
            </w:r>
            <w:r w:rsidR="00830D24">
              <w:rPr>
                <w:rStyle w:val="A4"/>
              </w:rPr>
              <w:t xml:space="preserve"> referred to The Prince Charles Hospital, Brisbane, Australia. Demographic details and variables </w:t>
            </w:r>
            <w:r w:rsidR="009851F4">
              <w:rPr>
                <w:rStyle w:val="A4"/>
              </w:rPr>
              <w:t>from</w:t>
            </w:r>
            <w:r w:rsidR="00830D24">
              <w:rPr>
                <w:rStyle w:val="A4"/>
              </w:rPr>
              <w:t xml:space="preserve"> the ILD multi-disciplinary meeting</w:t>
            </w:r>
            <w:r w:rsidR="00435082">
              <w:rPr>
                <w:rStyle w:val="A4"/>
              </w:rPr>
              <w:t xml:space="preserve"> (MDM)</w:t>
            </w:r>
            <w:r w:rsidR="004B29A4">
              <w:rPr>
                <w:rStyle w:val="A4"/>
              </w:rPr>
              <w:t xml:space="preserve"> were collected.</w:t>
            </w:r>
            <w:r w:rsidR="003B68B9">
              <w:rPr>
                <w:rStyle w:val="A4"/>
              </w:rPr>
              <w:t xml:space="preserve"> Short telomere length was defined as less than the tenth centile for age.</w:t>
            </w:r>
          </w:p>
          <w:p w14:paraId="6E67EFE8" w14:textId="56F19744" w:rsidR="003B68B9" w:rsidRPr="00FC57A7" w:rsidRDefault="001564A4" w:rsidP="00FC57A7">
            <w:pPr>
              <w:pStyle w:val="Pa12"/>
              <w:rPr>
                <w:color w:val="000000"/>
                <w:sz w:val="22"/>
                <w:szCs w:val="22"/>
              </w:rPr>
            </w:pPr>
            <w:r w:rsidRPr="00293143">
              <w:rPr>
                <w:rStyle w:val="A4"/>
                <w:b/>
                <w:bCs/>
              </w:rPr>
              <w:t xml:space="preserve">Results: </w:t>
            </w:r>
            <w:r w:rsidR="004B29A4">
              <w:rPr>
                <w:rStyle w:val="A4"/>
              </w:rPr>
              <w:t>Telomere length was measured in 212 individuals</w:t>
            </w:r>
            <w:r w:rsidR="009D026A">
              <w:rPr>
                <w:rStyle w:val="A4"/>
              </w:rPr>
              <w:t xml:space="preserve">, including 136 IPF, 25 </w:t>
            </w:r>
            <w:proofErr w:type="spellStart"/>
            <w:r w:rsidR="009D026A">
              <w:rPr>
                <w:rStyle w:val="A4"/>
              </w:rPr>
              <w:t>fHP</w:t>
            </w:r>
            <w:proofErr w:type="spellEnd"/>
            <w:r w:rsidR="009D026A">
              <w:rPr>
                <w:rStyle w:val="A4"/>
              </w:rPr>
              <w:t xml:space="preserve"> and 39 </w:t>
            </w:r>
            <w:proofErr w:type="spellStart"/>
            <w:r w:rsidR="009D026A">
              <w:rPr>
                <w:rStyle w:val="A4"/>
              </w:rPr>
              <w:t>uILD</w:t>
            </w:r>
            <w:proofErr w:type="spellEnd"/>
            <w:r w:rsidR="004B29A4">
              <w:rPr>
                <w:rStyle w:val="A4"/>
              </w:rPr>
              <w:t xml:space="preserve">. One hundred and thirteen (53%) individuals had </w:t>
            </w:r>
            <w:r w:rsidR="009851F4">
              <w:rPr>
                <w:rStyle w:val="A4"/>
              </w:rPr>
              <w:t>short telomeres</w:t>
            </w:r>
            <w:r w:rsidR="003B68B9">
              <w:rPr>
                <w:rStyle w:val="A4"/>
              </w:rPr>
              <w:t>, with similar prevalence across the three main diagnostic groups. Individuals with short telomeres tended to be younger (median age 62 years (IQR 54-69) compared with 64 years (IQR 60-71)),</w:t>
            </w:r>
            <w:r w:rsidR="009851F4">
              <w:rPr>
                <w:rStyle w:val="A4"/>
              </w:rPr>
              <w:t xml:space="preserve"> however</w:t>
            </w:r>
            <w:r w:rsidR="003B68B9">
              <w:rPr>
                <w:rStyle w:val="A4"/>
              </w:rPr>
              <w:t xml:space="preserve"> were similar in terms of the presence of family history of ILD</w:t>
            </w:r>
            <w:r w:rsidR="00D7093B">
              <w:rPr>
                <w:rStyle w:val="A4"/>
              </w:rPr>
              <w:t xml:space="preserve"> (23% versus 24%)</w:t>
            </w:r>
            <w:r w:rsidR="003B68B9">
              <w:rPr>
                <w:rStyle w:val="A4"/>
              </w:rPr>
              <w:t>, macrocytosis</w:t>
            </w:r>
            <w:r w:rsidR="00D7093B">
              <w:rPr>
                <w:rStyle w:val="A4"/>
              </w:rPr>
              <w:t xml:space="preserve"> (21% versus 18%)</w:t>
            </w:r>
            <w:r w:rsidR="003B68B9">
              <w:rPr>
                <w:rStyle w:val="A4"/>
              </w:rPr>
              <w:t xml:space="preserve"> and thrombocytopenia</w:t>
            </w:r>
            <w:r w:rsidR="00D7093B">
              <w:rPr>
                <w:rStyle w:val="A4"/>
              </w:rPr>
              <w:t xml:space="preserve"> (11% versus 8%)</w:t>
            </w:r>
            <w:r w:rsidR="003B68B9">
              <w:rPr>
                <w:rStyle w:val="A4"/>
              </w:rPr>
              <w:t>. No difference was observed for transplant-free survival between those above and below the tenth centile</w:t>
            </w:r>
            <w:r w:rsidR="00D7093B">
              <w:rPr>
                <w:rStyle w:val="A4"/>
              </w:rPr>
              <w:t xml:space="preserve"> for the group as a whole or within IPF. </w:t>
            </w:r>
            <w:r w:rsidR="00D03201">
              <w:rPr>
                <w:rStyle w:val="A4"/>
              </w:rPr>
              <w:t xml:space="preserve">Twenty-three individuals initially diagnosed with </w:t>
            </w:r>
            <w:proofErr w:type="spellStart"/>
            <w:r w:rsidR="00D03201">
              <w:rPr>
                <w:rStyle w:val="A4"/>
              </w:rPr>
              <w:t>uILD</w:t>
            </w:r>
            <w:proofErr w:type="spellEnd"/>
            <w:r w:rsidR="00D03201">
              <w:rPr>
                <w:rStyle w:val="A4"/>
              </w:rPr>
              <w:t xml:space="preserve"> were subsequently re-classified as IPF, 15 (65%) of whom had short telomeres.</w:t>
            </w:r>
          </w:p>
          <w:p w14:paraId="652F7BE1" w14:textId="6CA9EF4E" w:rsidR="001564A4" w:rsidRPr="00D7093B" w:rsidRDefault="001564A4" w:rsidP="000A28E2">
            <w:pPr>
              <w:pStyle w:val="Pa12"/>
              <w:rPr>
                <w:rStyle w:val="A4"/>
              </w:rPr>
            </w:pPr>
            <w:r w:rsidRPr="0050053A">
              <w:rPr>
                <w:rStyle w:val="A4"/>
                <w:b/>
                <w:bCs/>
              </w:rPr>
              <w:t>Conclusion:</w:t>
            </w:r>
            <w:r w:rsidR="00674A30">
              <w:rPr>
                <w:rStyle w:val="A4"/>
                <w:b/>
                <w:bCs/>
              </w:rPr>
              <w:t xml:space="preserve"> </w:t>
            </w:r>
            <w:r w:rsidR="00D7093B">
              <w:rPr>
                <w:rStyle w:val="A4"/>
              </w:rPr>
              <w:t>Shortened telomeres were highly</w:t>
            </w:r>
            <w:r w:rsidR="00435082">
              <w:rPr>
                <w:rStyle w:val="A4"/>
              </w:rPr>
              <w:t xml:space="preserve"> prevalent amongst adults with PF. While those with short telomeres were typically younger at diagnosis, there was no difference in the prevalence of features suggestive of a telomere biology disorder or outcome. Short telomere length may assist in the diagnosis of ILD where the initial MDM discussion yields an </w:t>
            </w:r>
            <w:proofErr w:type="spellStart"/>
            <w:r w:rsidR="00435082">
              <w:rPr>
                <w:rStyle w:val="A4"/>
              </w:rPr>
              <w:t>uILD</w:t>
            </w:r>
            <w:proofErr w:type="spellEnd"/>
            <w:r w:rsidR="00435082">
              <w:rPr>
                <w:rStyle w:val="A4"/>
              </w:rPr>
              <w:t xml:space="preserve"> diagnosis. </w:t>
            </w:r>
          </w:p>
          <w:p w14:paraId="17423D14" w14:textId="77777777" w:rsidR="009C7E06" w:rsidRPr="009C7E06" w:rsidRDefault="009C7E06" w:rsidP="009C7E06">
            <w:pPr>
              <w:pStyle w:val="Default"/>
            </w:pPr>
          </w:p>
          <w:p w14:paraId="196E7BAC" w14:textId="32FE177B" w:rsidR="001564A4" w:rsidRPr="0050053A" w:rsidRDefault="00712AC7" w:rsidP="000A28E2">
            <w:pPr>
              <w:pStyle w:val="Pa12"/>
              <w:rPr>
                <w:rStyle w:val="A4"/>
                <w:bCs/>
              </w:rPr>
            </w:pPr>
            <w:r w:rsidRPr="00830D24">
              <w:rPr>
                <w:b/>
                <w:bCs/>
                <w:sz w:val="22"/>
                <w:szCs w:val="22"/>
              </w:rPr>
              <w:t>Key words:</w:t>
            </w:r>
            <w:r>
              <w:rPr>
                <w:sz w:val="22"/>
                <w:szCs w:val="22"/>
              </w:rPr>
              <w:t xml:space="preserve"> Telomere, pulmonary fibrosis, Flow-FISH</w:t>
            </w:r>
            <w:r w:rsidR="001564A4">
              <w:rPr>
                <w:sz w:val="22"/>
                <w:szCs w:val="22"/>
              </w:rPr>
              <w:br/>
            </w:r>
          </w:p>
          <w:p w14:paraId="3E8B4283" w14:textId="0B9CA209" w:rsidR="001564A4" w:rsidRPr="0050053A" w:rsidRDefault="001564A4" w:rsidP="000A28E2">
            <w:pPr>
              <w:pStyle w:val="Pa12"/>
              <w:rPr>
                <w:rStyle w:val="A4"/>
                <w:b/>
                <w:bCs/>
              </w:rPr>
            </w:pPr>
            <w:r w:rsidRPr="0050053A">
              <w:rPr>
                <w:rStyle w:val="A4"/>
                <w:b/>
                <w:bCs/>
              </w:rPr>
              <w:t xml:space="preserve">Grant Support: </w:t>
            </w:r>
            <w:r w:rsidR="009851F4" w:rsidRPr="00712AC7">
              <w:rPr>
                <w:sz w:val="22"/>
                <w:szCs w:val="22"/>
              </w:rPr>
              <w:t>This project was supported by the Centre of Research Excellence in Pulmonary Fibrosis which is funded by the NHMRC (GNT1116371 and GNT2015613), Lung Foundation Australia, Boehringer Ingelheim, and anonymous philanthropy.</w:t>
            </w:r>
          </w:p>
          <w:p w14:paraId="7F8381F0" w14:textId="77777777" w:rsidR="001564A4" w:rsidRDefault="001564A4" w:rsidP="000A28E2">
            <w:pPr>
              <w:pStyle w:val="Pa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br/>
            </w:r>
          </w:p>
          <w:p w14:paraId="731CD908" w14:textId="77777777" w:rsidR="001564A4" w:rsidRDefault="001564A4" w:rsidP="000A28E2">
            <w:pPr>
              <w:pStyle w:val="Default"/>
            </w:pPr>
          </w:p>
          <w:p w14:paraId="34BF0A0F" w14:textId="77777777" w:rsidR="001564A4" w:rsidRPr="003E35F0" w:rsidRDefault="001564A4" w:rsidP="000A28E2">
            <w:pPr>
              <w:pStyle w:val="Default"/>
            </w:pPr>
          </w:p>
          <w:p w14:paraId="1FF1A88F" w14:textId="77777777" w:rsidR="001564A4" w:rsidRPr="0050053A" w:rsidRDefault="001564A4" w:rsidP="000A28E2">
            <w:pPr>
              <w:pStyle w:val="Pa12"/>
              <w:rPr>
                <w:rStyle w:val="A4"/>
                <w:bCs/>
              </w:rPr>
            </w:pP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  <w:r>
              <w:rPr>
                <w:rStyle w:val="A4"/>
                <w:bCs/>
              </w:rPr>
              <w:br/>
            </w:r>
          </w:p>
          <w:p w14:paraId="14DC37E4" w14:textId="77777777" w:rsidR="001564A4" w:rsidRPr="0050053A" w:rsidRDefault="001564A4" w:rsidP="000A28E2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50053A" w:rsidRDefault="001564A4" w:rsidP="000A28E2">
            <w:pPr>
              <w:pStyle w:val="Default"/>
              <w:rPr>
                <w:sz w:val="22"/>
                <w:szCs w:val="22"/>
                <w:lang w:val="en-US" w:eastAsia="en-GB"/>
              </w:rPr>
            </w:pP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  <w:r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6F5F775A" w14:textId="0C92C0E4" w:rsidR="003E355C" w:rsidRDefault="003E355C" w:rsidP="001564A4"/>
    <w:sectPr w:rsidR="003E35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25748"/>
    <w:rsid w:val="00073B68"/>
    <w:rsid w:val="00081802"/>
    <w:rsid w:val="000D1A39"/>
    <w:rsid w:val="00125E53"/>
    <w:rsid w:val="001306E3"/>
    <w:rsid w:val="00146642"/>
    <w:rsid w:val="001564A4"/>
    <w:rsid w:val="001867A4"/>
    <w:rsid w:val="00194FFF"/>
    <w:rsid w:val="001F278C"/>
    <w:rsid w:val="0022307F"/>
    <w:rsid w:val="0026122C"/>
    <w:rsid w:val="0028268E"/>
    <w:rsid w:val="00293143"/>
    <w:rsid w:val="002D0AE8"/>
    <w:rsid w:val="00315CDF"/>
    <w:rsid w:val="00342F3A"/>
    <w:rsid w:val="003B68B9"/>
    <w:rsid w:val="003C2767"/>
    <w:rsid w:val="003D0FB3"/>
    <w:rsid w:val="003E355C"/>
    <w:rsid w:val="00435082"/>
    <w:rsid w:val="00437373"/>
    <w:rsid w:val="00437882"/>
    <w:rsid w:val="00444A39"/>
    <w:rsid w:val="00483996"/>
    <w:rsid w:val="0048744C"/>
    <w:rsid w:val="004B29A4"/>
    <w:rsid w:val="004D551C"/>
    <w:rsid w:val="00513B8F"/>
    <w:rsid w:val="0051574E"/>
    <w:rsid w:val="0052097A"/>
    <w:rsid w:val="005415E4"/>
    <w:rsid w:val="005529C0"/>
    <w:rsid w:val="005840EF"/>
    <w:rsid w:val="005C439D"/>
    <w:rsid w:val="006319C4"/>
    <w:rsid w:val="00653DE9"/>
    <w:rsid w:val="00655F3E"/>
    <w:rsid w:val="00674A30"/>
    <w:rsid w:val="00675404"/>
    <w:rsid w:val="006A444F"/>
    <w:rsid w:val="00712AC7"/>
    <w:rsid w:val="007436B6"/>
    <w:rsid w:val="007673AA"/>
    <w:rsid w:val="007B188A"/>
    <w:rsid w:val="007E7386"/>
    <w:rsid w:val="00830D24"/>
    <w:rsid w:val="00842E00"/>
    <w:rsid w:val="00851AB7"/>
    <w:rsid w:val="0085613C"/>
    <w:rsid w:val="008605CE"/>
    <w:rsid w:val="00864B31"/>
    <w:rsid w:val="008803FA"/>
    <w:rsid w:val="0092247B"/>
    <w:rsid w:val="009243A9"/>
    <w:rsid w:val="009851F4"/>
    <w:rsid w:val="009B24C4"/>
    <w:rsid w:val="009B28F7"/>
    <w:rsid w:val="009C7E06"/>
    <w:rsid w:val="009D026A"/>
    <w:rsid w:val="009E03F7"/>
    <w:rsid w:val="009E2047"/>
    <w:rsid w:val="00A64011"/>
    <w:rsid w:val="00B12E32"/>
    <w:rsid w:val="00B819F4"/>
    <w:rsid w:val="00BE3291"/>
    <w:rsid w:val="00C80B2E"/>
    <w:rsid w:val="00CB2ADA"/>
    <w:rsid w:val="00CF135C"/>
    <w:rsid w:val="00D03201"/>
    <w:rsid w:val="00D5156C"/>
    <w:rsid w:val="00D52AA6"/>
    <w:rsid w:val="00D6479D"/>
    <w:rsid w:val="00D7093B"/>
    <w:rsid w:val="00DD025E"/>
    <w:rsid w:val="00E0700F"/>
    <w:rsid w:val="00E14C8B"/>
    <w:rsid w:val="00E40130"/>
    <w:rsid w:val="00ED2F1B"/>
    <w:rsid w:val="00ED460C"/>
    <w:rsid w:val="00EE2D14"/>
    <w:rsid w:val="00EF6A64"/>
    <w:rsid w:val="00F02FB3"/>
    <w:rsid w:val="00F55331"/>
    <w:rsid w:val="00FC2EA4"/>
    <w:rsid w:val="00FC57A7"/>
    <w:rsid w:val="00FD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3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John Mackintosh</cp:lastModifiedBy>
  <cp:revision>2</cp:revision>
  <dcterms:created xsi:type="dcterms:W3CDTF">2023-10-19T03:15:00Z</dcterms:created>
  <dcterms:modified xsi:type="dcterms:W3CDTF">2023-10-19T03:15:00Z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