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1564A4" w:rsidRPr="00B33B73" w14:paraId="5C38377B" w14:textId="77777777" w:rsidTr="00211184">
        <w:trPr>
          <w:trHeight w:val="530"/>
          <w:jc w:val="center"/>
        </w:trPr>
        <w:tc>
          <w:tcPr>
            <w:tcW w:w="9493" w:type="dxa"/>
            <w:shd w:val="clear" w:color="auto" w:fill="auto"/>
          </w:tcPr>
          <w:p w14:paraId="5C44F357" w14:textId="681A854F" w:rsidR="001564A4" w:rsidRPr="00211184" w:rsidRDefault="00BA348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111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Outcomes of </w:t>
            </w:r>
            <w:r w:rsidR="00527F5F" w:rsidRPr="002111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biologic therapy in </w:t>
            </w:r>
            <w:r w:rsidRPr="002111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 tertiary </w:t>
            </w:r>
            <w:r w:rsidR="00527F5F" w:rsidRPr="002111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Severe Asthma Clinic </w:t>
            </w:r>
          </w:p>
        </w:tc>
      </w:tr>
      <w:tr w:rsidR="001564A4" w:rsidRPr="00B33B73" w14:paraId="0E2E035C" w14:textId="77777777" w:rsidTr="00211184">
        <w:trPr>
          <w:trHeight w:val="514"/>
          <w:jc w:val="center"/>
        </w:trPr>
        <w:tc>
          <w:tcPr>
            <w:tcW w:w="9493" w:type="dxa"/>
            <w:shd w:val="clear" w:color="auto" w:fill="auto"/>
          </w:tcPr>
          <w:p w14:paraId="73B55295" w14:textId="6B9F559F" w:rsidR="001564A4" w:rsidRPr="002231EA" w:rsidRDefault="00932D5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S. </w:t>
            </w:r>
            <w:r w:rsidR="00D1113F">
              <w:rPr>
                <w:rFonts w:ascii="Arial" w:hAnsi="Arial" w:cs="Arial"/>
                <w:sz w:val="22"/>
                <w:szCs w:val="22"/>
                <w:lang w:val="en-US" w:eastAsia="en-GB"/>
              </w:rPr>
              <w:t>Lee</w:t>
            </w:r>
            <w:r w:rsidR="00D1113F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D1113F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M. </w:t>
            </w:r>
            <w:r w:rsidR="00D1113F">
              <w:rPr>
                <w:rFonts w:ascii="Arial" w:hAnsi="Arial" w:cs="Arial"/>
                <w:sz w:val="22"/>
                <w:szCs w:val="22"/>
                <w:lang w:val="en-US" w:eastAsia="en-GB"/>
              </w:rPr>
              <w:t>Andrabi</w:t>
            </w:r>
            <w:r w:rsidR="00BA34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1113F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B. </w:t>
            </w:r>
            <w:r w:rsidR="00D1113F">
              <w:rPr>
                <w:rFonts w:ascii="Arial" w:hAnsi="Arial" w:cs="Arial"/>
                <w:sz w:val="22"/>
                <w:szCs w:val="22"/>
                <w:lang w:val="en-US" w:eastAsia="en-GB"/>
              </w:rPr>
              <w:t>Zhong</w:t>
            </w:r>
            <w:r w:rsidR="00BA34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1113F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A. </w:t>
            </w:r>
            <w:proofErr w:type="spellStart"/>
            <w:r w:rsidR="00BA3480">
              <w:rPr>
                <w:rFonts w:ascii="Arial" w:hAnsi="Arial" w:cs="Arial"/>
                <w:sz w:val="22"/>
                <w:szCs w:val="22"/>
                <w:lang w:val="en-US" w:eastAsia="en-GB"/>
              </w:rPr>
              <w:t>Aminazad</w:t>
            </w:r>
            <w:proofErr w:type="spellEnd"/>
            <w:r w:rsidR="00BA34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1,2</w:t>
            </w:r>
            <w:r w:rsidR="00BA348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F. </w:t>
            </w:r>
            <w:r w:rsidR="002231EA">
              <w:rPr>
                <w:rFonts w:ascii="Arial" w:hAnsi="Arial" w:cs="Arial"/>
                <w:sz w:val="22"/>
                <w:szCs w:val="22"/>
                <w:lang w:val="en-US" w:eastAsia="en-GB"/>
              </w:rPr>
              <w:t>Thien</w:t>
            </w:r>
            <w:r w:rsidR="00BA3480" w:rsidDel="00BA34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BA34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2231EA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C. </w:t>
            </w:r>
            <w:r w:rsidR="002231EA">
              <w:rPr>
                <w:rFonts w:ascii="Arial" w:hAnsi="Arial" w:cs="Arial"/>
                <w:sz w:val="22"/>
                <w:szCs w:val="22"/>
                <w:lang w:val="en-US" w:eastAsia="en-GB"/>
              </w:rPr>
              <w:t>Foo</w:t>
            </w:r>
            <w:r w:rsidR="00BA34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B33B73" w14:paraId="385A19D9" w14:textId="77777777" w:rsidTr="00211184">
        <w:trPr>
          <w:trHeight w:val="145"/>
          <w:jc w:val="center"/>
        </w:trPr>
        <w:tc>
          <w:tcPr>
            <w:tcW w:w="9493" w:type="dxa"/>
            <w:shd w:val="clear" w:color="auto" w:fill="auto"/>
          </w:tcPr>
          <w:p w14:paraId="1643A330" w14:textId="4697ECF6" w:rsidR="001564A4" w:rsidRPr="00B33B73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33B7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A348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941D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and Sleep Department,</w:t>
            </w:r>
            <w:r w:rsidR="00BA348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941D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Eastern Health, </w:t>
            </w:r>
            <w:r w:rsidR="00B519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Melbourne, </w:t>
            </w:r>
            <w:r w:rsidR="00A144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="00941D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45ED36BF" w14:textId="30245C11" w:rsidR="001564A4" w:rsidRPr="00B33B73" w:rsidRDefault="00BA3480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A879E7" w:rsidRPr="00A879E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Eastern Health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Clinical School, </w:t>
            </w:r>
            <w:r w:rsidR="00A879E7" w:rsidRPr="00A879E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University, Melbourne, VIC</w:t>
            </w:r>
            <w:r w:rsidR="00926BA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A879E7" w:rsidRPr="00A879E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 Australia</w:t>
            </w:r>
          </w:p>
        </w:tc>
      </w:tr>
      <w:tr w:rsidR="001564A4" w:rsidRPr="00B33B73" w14:paraId="6DAF615A" w14:textId="77777777" w:rsidTr="00211184">
        <w:trPr>
          <w:trHeight w:hRule="exact" w:val="11108"/>
          <w:jc w:val="center"/>
        </w:trPr>
        <w:tc>
          <w:tcPr>
            <w:tcW w:w="9493" w:type="dxa"/>
            <w:shd w:val="clear" w:color="auto" w:fill="auto"/>
          </w:tcPr>
          <w:p w14:paraId="5B807563" w14:textId="77777777" w:rsidR="00A14400" w:rsidRPr="00383304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383304">
              <w:rPr>
                <w:rStyle w:val="A4"/>
                <w:b/>
                <w:bCs/>
              </w:rPr>
              <w:t xml:space="preserve">Introduction/Aim: </w:t>
            </w:r>
            <w:r w:rsidR="00527F5F" w:rsidRPr="003833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3D770CF7" w14:textId="6898F592" w:rsidR="001564A4" w:rsidRPr="00383304" w:rsidRDefault="00527F5F" w:rsidP="000A28E2">
            <w:pPr>
              <w:pStyle w:val="Pa12"/>
              <w:rPr>
                <w:rStyle w:val="A4"/>
              </w:rPr>
            </w:pPr>
            <w:r w:rsidRPr="00383304">
              <w:rPr>
                <w:color w:val="000000"/>
                <w:sz w:val="22"/>
                <w:szCs w:val="22"/>
              </w:rPr>
              <w:t>Severe asthma</w:t>
            </w:r>
            <w:r w:rsidR="00556D55" w:rsidRPr="00383304">
              <w:rPr>
                <w:color w:val="000000"/>
                <w:sz w:val="22"/>
                <w:szCs w:val="22"/>
              </w:rPr>
              <w:t xml:space="preserve"> </w:t>
            </w:r>
            <w:r w:rsidR="00BA3480" w:rsidRPr="00383304">
              <w:rPr>
                <w:color w:val="000000"/>
                <w:sz w:val="22"/>
                <w:szCs w:val="22"/>
              </w:rPr>
              <w:t xml:space="preserve">affects up to 10% of </w:t>
            </w:r>
            <w:r w:rsidR="00285A44" w:rsidRPr="00383304">
              <w:rPr>
                <w:color w:val="000000"/>
                <w:sz w:val="22"/>
                <w:szCs w:val="22"/>
              </w:rPr>
              <w:t>asthmatics</w:t>
            </w:r>
            <w:r w:rsidR="005E01F0" w:rsidRPr="00383304">
              <w:rPr>
                <w:color w:val="000000"/>
                <w:sz w:val="22"/>
                <w:szCs w:val="22"/>
              </w:rPr>
              <w:t xml:space="preserve"> </w:t>
            </w:r>
            <w:r w:rsidR="00285A44" w:rsidRPr="00383304">
              <w:rPr>
                <w:color w:val="000000"/>
                <w:sz w:val="22"/>
                <w:szCs w:val="22"/>
              </w:rPr>
              <w:t>and is associated with increased morbidity, mortality, and healthcare costs.</w:t>
            </w:r>
            <w:r w:rsidR="00E1406A" w:rsidRPr="00383304">
              <w:rPr>
                <w:color w:val="000000"/>
                <w:sz w:val="22"/>
                <w:szCs w:val="22"/>
              </w:rPr>
              <w:t xml:space="preserve"> </w:t>
            </w:r>
            <w:r w:rsidR="00285A44" w:rsidRPr="00383304">
              <w:rPr>
                <w:color w:val="000000"/>
                <w:sz w:val="22"/>
                <w:szCs w:val="22"/>
              </w:rPr>
              <w:t>Asthma b</w:t>
            </w:r>
            <w:r w:rsidRPr="00383304">
              <w:rPr>
                <w:color w:val="000000"/>
                <w:sz w:val="22"/>
                <w:szCs w:val="22"/>
              </w:rPr>
              <w:t xml:space="preserve">iologics improve asthma </w:t>
            </w:r>
            <w:r w:rsidR="005B34E9" w:rsidRPr="00383304">
              <w:rPr>
                <w:color w:val="000000"/>
                <w:sz w:val="22"/>
                <w:szCs w:val="22"/>
              </w:rPr>
              <w:t>symptoms</w:t>
            </w:r>
            <w:r w:rsidR="005E01F0" w:rsidRPr="00383304">
              <w:rPr>
                <w:color w:val="000000"/>
                <w:sz w:val="22"/>
                <w:szCs w:val="22"/>
              </w:rPr>
              <w:t>, reduce exacerbations, and reliance on oral corticosteroids (OCS)</w:t>
            </w:r>
            <w:r w:rsidR="00E90E69">
              <w:rPr>
                <w:color w:val="000000"/>
                <w:sz w:val="22"/>
                <w:szCs w:val="22"/>
              </w:rPr>
              <w:t xml:space="preserve">. </w:t>
            </w:r>
            <w:r w:rsidRPr="00383304">
              <w:rPr>
                <w:color w:val="000000"/>
                <w:sz w:val="22"/>
                <w:szCs w:val="22"/>
              </w:rPr>
              <w:t xml:space="preserve">Despite this, </w:t>
            </w:r>
            <w:r w:rsidR="005B34E9" w:rsidRPr="00383304">
              <w:rPr>
                <w:color w:val="000000"/>
                <w:sz w:val="22"/>
                <w:szCs w:val="22"/>
              </w:rPr>
              <w:t>switching</w:t>
            </w:r>
            <w:r w:rsidRPr="00383304">
              <w:rPr>
                <w:color w:val="000000"/>
                <w:sz w:val="22"/>
                <w:szCs w:val="22"/>
              </w:rPr>
              <w:t xml:space="preserve"> </w:t>
            </w:r>
            <w:r w:rsidR="005B34E9" w:rsidRPr="00383304">
              <w:rPr>
                <w:color w:val="000000"/>
                <w:sz w:val="22"/>
                <w:szCs w:val="22"/>
              </w:rPr>
              <w:t>biologics</w:t>
            </w:r>
            <w:r w:rsidR="00B87E40" w:rsidRPr="00383304">
              <w:rPr>
                <w:color w:val="000000"/>
                <w:sz w:val="22"/>
                <w:szCs w:val="22"/>
              </w:rPr>
              <w:t xml:space="preserve"> </w:t>
            </w:r>
            <w:r w:rsidR="00E1406A" w:rsidRPr="00383304">
              <w:rPr>
                <w:color w:val="000000"/>
                <w:sz w:val="22"/>
                <w:szCs w:val="22"/>
              </w:rPr>
              <w:t xml:space="preserve">may be required </w:t>
            </w:r>
            <w:r w:rsidR="00285A44" w:rsidRPr="00383304">
              <w:rPr>
                <w:color w:val="000000"/>
                <w:sz w:val="22"/>
                <w:szCs w:val="22"/>
              </w:rPr>
              <w:t>to achieve good asthma control</w:t>
            </w:r>
            <w:r w:rsidRPr="00383304">
              <w:rPr>
                <w:color w:val="000000"/>
                <w:sz w:val="22"/>
                <w:szCs w:val="22"/>
              </w:rPr>
              <w:t xml:space="preserve">. This study </w:t>
            </w:r>
            <w:r w:rsidR="00540DA6">
              <w:rPr>
                <w:color w:val="000000"/>
                <w:sz w:val="22"/>
                <w:szCs w:val="22"/>
              </w:rPr>
              <w:t>describes</w:t>
            </w:r>
            <w:r w:rsidRPr="00383304">
              <w:rPr>
                <w:color w:val="000000"/>
                <w:sz w:val="22"/>
                <w:szCs w:val="22"/>
              </w:rPr>
              <w:t xml:space="preserve"> </w:t>
            </w:r>
            <w:r w:rsidR="0002227E">
              <w:rPr>
                <w:color w:val="000000"/>
                <w:sz w:val="22"/>
                <w:szCs w:val="22"/>
              </w:rPr>
              <w:t>a</w:t>
            </w:r>
            <w:r w:rsidR="00DA6FB3" w:rsidRPr="00383304">
              <w:rPr>
                <w:color w:val="000000"/>
                <w:sz w:val="22"/>
                <w:szCs w:val="22"/>
              </w:rPr>
              <w:t xml:space="preserve"> cohort of severe asthmatics initiated on biologics and their clinical outcomes,</w:t>
            </w:r>
            <w:r w:rsidR="006F7DFA" w:rsidRPr="00383304">
              <w:rPr>
                <w:color w:val="000000"/>
                <w:sz w:val="22"/>
                <w:szCs w:val="22"/>
              </w:rPr>
              <w:t xml:space="preserve"> frequency of biologic </w:t>
            </w:r>
            <w:r w:rsidR="00DA6FB3" w:rsidRPr="00383304">
              <w:rPr>
                <w:color w:val="000000"/>
                <w:sz w:val="22"/>
                <w:szCs w:val="22"/>
              </w:rPr>
              <w:t>switches</w:t>
            </w:r>
            <w:r w:rsidR="006F7DFA" w:rsidRPr="00383304">
              <w:rPr>
                <w:color w:val="000000"/>
                <w:sz w:val="22"/>
                <w:szCs w:val="22"/>
              </w:rPr>
              <w:t xml:space="preserve">, and </w:t>
            </w:r>
            <w:r w:rsidR="00B87E40" w:rsidRPr="00383304">
              <w:rPr>
                <w:color w:val="000000"/>
                <w:sz w:val="22"/>
                <w:szCs w:val="22"/>
              </w:rPr>
              <w:t>referrals</w:t>
            </w:r>
            <w:r w:rsidR="006F7DFA" w:rsidRPr="00383304">
              <w:rPr>
                <w:color w:val="000000"/>
                <w:sz w:val="22"/>
                <w:szCs w:val="22"/>
              </w:rPr>
              <w:t xml:space="preserve"> for </w:t>
            </w:r>
            <w:r w:rsidR="00DA6FB3" w:rsidRPr="00383304">
              <w:rPr>
                <w:color w:val="000000"/>
                <w:sz w:val="22"/>
                <w:szCs w:val="22"/>
              </w:rPr>
              <w:t>bronchial thermoplasty (BT)</w:t>
            </w:r>
            <w:r w:rsidR="00AB72CF">
              <w:rPr>
                <w:color w:val="000000"/>
                <w:sz w:val="22"/>
                <w:szCs w:val="22"/>
              </w:rPr>
              <w:t>.</w:t>
            </w:r>
          </w:p>
          <w:p w14:paraId="0D2895B4" w14:textId="77777777" w:rsidR="00A14400" w:rsidRPr="0038330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383304">
              <w:rPr>
                <w:rStyle w:val="A4"/>
                <w:b/>
                <w:bCs/>
              </w:rPr>
              <w:t xml:space="preserve">Methods: </w:t>
            </w:r>
          </w:p>
          <w:p w14:paraId="5029BAE6" w14:textId="76A69666" w:rsidR="001564A4" w:rsidRPr="00383304" w:rsidRDefault="00556D55" w:rsidP="000A28E2">
            <w:pPr>
              <w:pStyle w:val="Pa12"/>
              <w:rPr>
                <w:rStyle w:val="A4"/>
              </w:rPr>
            </w:pPr>
            <w:r w:rsidRPr="00383304">
              <w:rPr>
                <w:color w:val="000000"/>
                <w:sz w:val="22"/>
                <w:szCs w:val="22"/>
              </w:rPr>
              <w:t>B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aseline </w:t>
            </w:r>
            <w:r w:rsidR="005736B4" w:rsidRPr="00383304">
              <w:rPr>
                <w:color w:val="000000"/>
                <w:sz w:val="22"/>
                <w:szCs w:val="22"/>
              </w:rPr>
              <w:t xml:space="preserve">demographics and 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asthma characteristics </w:t>
            </w:r>
            <w:r w:rsidR="00285A44" w:rsidRPr="00383304">
              <w:rPr>
                <w:color w:val="000000"/>
                <w:sz w:val="22"/>
                <w:szCs w:val="22"/>
              </w:rPr>
              <w:t xml:space="preserve">were </w:t>
            </w:r>
            <w:r w:rsidR="005736B4" w:rsidRPr="00383304">
              <w:rPr>
                <w:color w:val="000000"/>
                <w:sz w:val="22"/>
                <w:szCs w:val="22"/>
              </w:rPr>
              <w:t>obtained</w:t>
            </w:r>
            <w:r w:rsidRPr="00383304">
              <w:rPr>
                <w:color w:val="000000"/>
                <w:sz w:val="22"/>
                <w:szCs w:val="22"/>
              </w:rPr>
              <w:t xml:space="preserve"> including a</w:t>
            </w:r>
            <w:r w:rsidR="00527F5F" w:rsidRPr="00383304">
              <w:rPr>
                <w:color w:val="000000"/>
                <w:sz w:val="22"/>
                <w:szCs w:val="22"/>
              </w:rPr>
              <w:t>ge</w:t>
            </w:r>
            <w:r w:rsidR="00FE3CC2" w:rsidRPr="00383304">
              <w:rPr>
                <w:color w:val="000000"/>
                <w:sz w:val="22"/>
                <w:szCs w:val="22"/>
              </w:rPr>
              <w:t xml:space="preserve"> of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 onset; allergic and biochemical test</w:t>
            </w:r>
            <w:r w:rsidR="00FE3CC2" w:rsidRPr="00383304">
              <w:rPr>
                <w:color w:val="000000"/>
                <w:sz w:val="22"/>
                <w:szCs w:val="22"/>
              </w:rPr>
              <w:t xml:space="preserve"> results</w:t>
            </w:r>
            <w:r w:rsidRPr="00383304">
              <w:rPr>
                <w:color w:val="000000"/>
                <w:sz w:val="22"/>
                <w:szCs w:val="22"/>
              </w:rPr>
              <w:t xml:space="preserve">; 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baseline </w:t>
            </w:r>
            <w:r w:rsidR="00FE3CC2" w:rsidRPr="00383304">
              <w:rPr>
                <w:color w:val="000000"/>
                <w:sz w:val="22"/>
                <w:szCs w:val="22"/>
              </w:rPr>
              <w:t>lung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 function tests</w:t>
            </w:r>
            <w:r w:rsidRPr="00383304">
              <w:rPr>
                <w:color w:val="000000"/>
                <w:sz w:val="22"/>
                <w:szCs w:val="22"/>
              </w:rPr>
              <w:t>; and number of exacerbations over the last 12 months. I</w:t>
            </w:r>
            <w:r w:rsidR="00FE3CC2" w:rsidRPr="00383304">
              <w:rPr>
                <w:color w:val="000000"/>
                <w:sz w:val="22"/>
                <w:szCs w:val="22"/>
              </w:rPr>
              <w:t>n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itial </w:t>
            </w:r>
            <w:r w:rsidR="00FE3CC2" w:rsidRPr="00383304">
              <w:rPr>
                <w:color w:val="000000"/>
                <w:sz w:val="22"/>
                <w:szCs w:val="22"/>
              </w:rPr>
              <w:t xml:space="preserve">and current </w:t>
            </w:r>
            <w:r w:rsidRPr="00383304">
              <w:rPr>
                <w:color w:val="000000"/>
                <w:sz w:val="22"/>
                <w:szCs w:val="22"/>
              </w:rPr>
              <w:t xml:space="preserve">asthma control questionnaire scores (ACQ), </w:t>
            </w:r>
            <w:r w:rsidR="00527F5F" w:rsidRPr="00383304">
              <w:rPr>
                <w:color w:val="000000"/>
                <w:sz w:val="22"/>
                <w:szCs w:val="22"/>
              </w:rPr>
              <w:t xml:space="preserve">biologic </w:t>
            </w:r>
            <w:r w:rsidR="00FE3CC2" w:rsidRPr="00383304">
              <w:rPr>
                <w:color w:val="000000"/>
                <w:sz w:val="22"/>
                <w:szCs w:val="22"/>
              </w:rPr>
              <w:t>therapy</w:t>
            </w:r>
            <w:r w:rsidRPr="00383304">
              <w:rPr>
                <w:color w:val="000000"/>
                <w:sz w:val="22"/>
                <w:szCs w:val="22"/>
              </w:rPr>
              <w:t xml:space="preserve">, </w:t>
            </w:r>
            <w:r w:rsidR="00FE3CC2" w:rsidRPr="00383304">
              <w:rPr>
                <w:color w:val="000000"/>
                <w:sz w:val="22"/>
                <w:szCs w:val="22"/>
              </w:rPr>
              <w:t xml:space="preserve">and </w:t>
            </w:r>
            <w:r w:rsidR="003A4130" w:rsidRPr="00383304">
              <w:rPr>
                <w:color w:val="000000"/>
                <w:sz w:val="22"/>
                <w:szCs w:val="22"/>
              </w:rPr>
              <w:t xml:space="preserve">OCS </w:t>
            </w:r>
            <w:r w:rsidRPr="00383304">
              <w:rPr>
                <w:color w:val="000000"/>
                <w:sz w:val="22"/>
                <w:szCs w:val="22"/>
              </w:rPr>
              <w:t>utilization were also recorded</w:t>
            </w:r>
            <w:r w:rsidR="00DA6FB3" w:rsidRPr="00383304">
              <w:rPr>
                <w:color w:val="000000"/>
                <w:sz w:val="22"/>
                <w:szCs w:val="22"/>
              </w:rPr>
              <w:t xml:space="preserve">, </w:t>
            </w:r>
            <w:r w:rsidR="00140DD8" w:rsidRPr="00383304">
              <w:rPr>
                <w:color w:val="000000"/>
                <w:sz w:val="22"/>
                <w:szCs w:val="22"/>
              </w:rPr>
              <w:t>along</w:t>
            </w:r>
            <w:r w:rsidR="00DA6FB3" w:rsidRPr="00383304">
              <w:rPr>
                <w:color w:val="000000"/>
                <w:sz w:val="22"/>
                <w:szCs w:val="22"/>
              </w:rPr>
              <w:t xml:space="preserve"> with </w:t>
            </w:r>
            <w:r w:rsidR="00140DD8" w:rsidRPr="00383304">
              <w:rPr>
                <w:color w:val="000000"/>
                <w:sz w:val="22"/>
                <w:szCs w:val="22"/>
              </w:rPr>
              <w:t xml:space="preserve">BT referral rates. </w:t>
            </w:r>
            <w:r w:rsidR="00DA6FB3" w:rsidRPr="00383304">
              <w:rPr>
                <w:color w:val="000000"/>
                <w:sz w:val="22"/>
                <w:szCs w:val="22"/>
              </w:rPr>
              <w:t xml:space="preserve"> </w:t>
            </w:r>
          </w:p>
          <w:p w14:paraId="5478D2BD" w14:textId="77777777" w:rsidR="00A14400" w:rsidRPr="0038330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383304">
              <w:rPr>
                <w:rStyle w:val="A4"/>
                <w:b/>
                <w:bCs/>
              </w:rPr>
              <w:t xml:space="preserve">Results: </w:t>
            </w:r>
          </w:p>
          <w:p w14:paraId="6B97582D" w14:textId="61EBB10B" w:rsidR="00383304" w:rsidRDefault="00383304" w:rsidP="0038330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83304">
              <w:rPr>
                <w:rFonts w:ascii="Arial" w:hAnsi="Arial" w:cs="Arial"/>
                <w:sz w:val="22"/>
                <w:szCs w:val="22"/>
              </w:rPr>
              <w:t xml:space="preserve">Baseline characteristics of 107 </w:t>
            </w:r>
            <w:r w:rsidR="00334FB9">
              <w:rPr>
                <w:rFonts w:ascii="Arial" w:hAnsi="Arial" w:cs="Arial"/>
                <w:sz w:val="22"/>
                <w:szCs w:val="22"/>
              </w:rPr>
              <w:t>asthmatics</w:t>
            </w:r>
            <w:r w:rsidRPr="00383304">
              <w:rPr>
                <w:rFonts w:ascii="Arial" w:hAnsi="Arial" w:cs="Arial"/>
                <w:sz w:val="22"/>
                <w:szCs w:val="22"/>
              </w:rPr>
              <w:t xml:space="preserve"> are presented in Table 1. Median duration of follow-up was 32 (IQR 55-15) months. Omalizumab (52.3%) was the most common biologic initiated, followed by mepolizumab (19.6%), benralizumab (26.2%) and dupilumab (1.79%). Biologic therapy </w:t>
            </w:r>
            <w:r w:rsidR="00D85AD4">
              <w:rPr>
                <w:rFonts w:ascii="Arial" w:hAnsi="Arial" w:cs="Arial"/>
                <w:sz w:val="22"/>
                <w:szCs w:val="22"/>
              </w:rPr>
              <w:t>was</w:t>
            </w:r>
            <w:r w:rsidRPr="00383304">
              <w:rPr>
                <w:rFonts w:ascii="Arial" w:hAnsi="Arial" w:cs="Arial"/>
                <w:sz w:val="22"/>
                <w:szCs w:val="22"/>
              </w:rPr>
              <w:t xml:space="preserve"> altered in 28% of </w:t>
            </w:r>
            <w:r w:rsidR="006B0B7D">
              <w:rPr>
                <w:rFonts w:ascii="Arial" w:hAnsi="Arial" w:cs="Arial"/>
                <w:sz w:val="22"/>
                <w:szCs w:val="22"/>
              </w:rPr>
              <w:t>patients</w:t>
            </w:r>
            <w:r w:rsidRPr="00383304">
              <w:rPr>
                <w:rFonts w:ascii="Arial" w:hAnsi="Arial" w:cs="Arial"/>
                <w:sz w:val="22"/>
                <w:szCs w:val="22"/>
              </w:rPr>
              <w:t>, of which 60% were switched, and 40% discontinued. Of those who underwent a biologic switch, 66.7% switched once with 33.3% switching twice. 17.8% also underwent BT.</w:t>
            </w:r>
            <w:r w:rsidR="00540D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3304">
              <w:rPr>
                <w:rFonts w:ascii="Arial" w:hAnsi="Arial" w:cs="Arial"/>
                <w:sz w:val="22"/>
                <w:szCs w:val="22"/>
              </w:rPr>
              <w:t>Mean ACQ reduced from 3.6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sym w:font="Symbol" w:char="F0B1"/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 xml:space="preserve">0.9 </w:t>
            </w:r>
            <w:r w:rsidR="00540DA6">
              <w:rPr>
                <w:rFonts w:ascii="Arial" w:hAnsi="Arial" w:cs="Arial"/>
                <w:sz w:val="22"/>
                <w:szCs w:val="22"/>
                <w:lang w:val="en-AU"/>
              </w:rPr>
              <w:t xml:space="preserve">pre-biologic 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>to 1.8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sym w:font="Symbol" w:char="F0B1"/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>1.3</w:t>
            </w:r>
            <w:r w:rsidR="00540DA6">
              <w:rPr>
                <w:rFonts w:ascii="Arial" w:hAnsi="Arial" w:cs="Arial"/>
                <w:sz w:val="22"/>
                <w:szCs w:val="22"/>
                <w:lang w:val="en-AU"/>
              </w:rPr>
              <w:t xml:space="preserve"> at most recent follow-up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 xml:space="preserve">. OCS </w:t>
            </w:r>
            <w:r w:rsidR="00113B0D">
              <w:rPr>
                <w:rFonts w:ascii="Arial" w:hAnsi="Arial" w:cs="Arial"/>
                <w:sz w:val="22"/>
                <w:szCs w:val="22"/>
                <w:lang w:val="en-AU"/>
              </w:rPr>
              <w:t>was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540DA6">
              <w:rPr>
                <w:rFonts w:ascii="Arial" w:hAnsi="Arial" w:cs="Arial"/>
                <w:sz w:val="22"/>
                <w:szCs w:val="22"/>
                <w:lang w:val="en-AU"/>
              </w:rPr>
              <w:t xml:space="preserve">also 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 xml:space="preserve">successfully weaned off in 64.4% of OCS-dependent </w:t>
            </w:r>
            <w:r w:rsidR="00C72EC0">
              <w:rPr>
                <w:rFonts w:ascii="Arial" w:hAnsi="Arial" w:cs="Arial"/>
                <w:sz w:val="22"/>
                <w:szCs w:val="22"/>
                <w:lang w:val="en-AU"/>
              </w:rPr>
              <w:t>patients</w:t>
            </w:r>
            <w:r w:rsidRPr="00383304">
              <w:rPr>
                <w:rFonts w:ascii="Arial" w:hAnsi="Arial" w:cs="Arial"/>
                <w:sz w:val="22"/>
                <w:szCs w:val="22"/>
                <w:lang w:val="en-AU"/>
              </w:rPr>
              <w:t xml:space="preserve">. A further 15.6% managed to reduce their OCS dose. </w:t>
            </w:r>
            <w:r w:rsidR="00386CE7">
              <w:rPr>
                <w:rFonts w:ascii="Arial" w:hAnsi="Arial" w:cs="Arial"/>
                <w:sz w:val="22"/>
                <w:szCs w:val="22"/>
                <w:lang w:val="en-AU"/>
              </w:rPr>
              <w:t xml:space="preserve">48% of </w:t>
            </w:r>
            <w:r w:rsidR="00C72EC0">
              <w:rPr>
                <w:rFonts w:ascii="Arial" w:hAnsi="Arial" w:cs="Arial"/>
                <w:sz w:val="22"/>
                <w:szCs w:val="22"/>
                <w:lang w:val="en-AU"/>
              </w:rPr>
              <w:t>patients</w:t>
            </w:r>
            <w:r w:rsidR="00386CE7">
              <w:rPr>
                <w:rFonts w:ascii="Arial" w:hAnsi="Arial" w:cs="Arial"/>
                <w:sz w:val="22"/>
                <w:szCs w:val="22"/>
                <w:lang w:val="en-AU"/>
              </w:rPr>
              <w:t xml:space="preserve"> had no exacerbations in the 12 months </w:t>
            </w:r>
            <w:r w:rsidR="00113B0D">
              <w:rPr>
                <w:rFonts w:ascii="Arial" w:hAnsi="Arial" w:cs="Arial"/>
                <w:sz w:val="22"/>
                <w:szCs w:val="22"/>
                <w:lang w:val="en-AU"/>
              </w:rPr>
              <w:t>prior</w:t>
            </w:r>
            <w:r w:rsidR="00386CE7">
              <w:rPr>
                <w:rFonts w:ascii="Arial" w:hAnsi="Arial" w:cs="Arial"/>
                <w:sz w:val="22"/>
                <w:szCs w:val="22"/>
                <w:lang w:val="en-AU"/>
              </w:rPr>
              <w:t xml:space="preserve"> to their latest follow-up. </w:t>
            </w:r>
          </w:p>
          <w:p w14:paraId="0C9DE726" w14:textId="07DB82B8" w:rsidR="00DD780F" w:rsidRDefault="00DD780F" w:rsidP="00F41C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B7FFAD1" w14:textId="77777777" w:rsidR="0008663E" w:rsidRPr="00383304" w:rsidRDefault="0008663E" w:rsidP="00F41C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9"/>
              <w:gridCol w:w="2675"/>
            </w:tblGrid>
            <w:tr w:rsidR="00F41C53" w:rsidRPr="00F41C53" w14:paraId="0F882A78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56E5DE07" w14:textId="1DB39C9E" w:rsidR="00F41C53" w:rsidRPr="00F41C53" w:rsidRDefault="00F41C53" w:rsidP="00527F5F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Characteristics (n=107)</w:t>
                  </w:r>
                </w:p>
              </w:tc>
              <w:tc>
                <w:tcPr>
                  <w:tcW w:w="2675" w:type="dxa"/>
                </w:tcPr>
                <w:p w14:paraId="4B8384BD" w14:textId="73959CCD" w:rsidR="00F41C53" w:rsidRPr="00F41C53" w:rsidRDefault="00F41C53" w:rsidP="00527F5F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Value</w:t>
                  </w:r>
                </w:p>
              </w:tc>
            </w:tr>
            <w:tr w:rsidR="00F41C53" w:rsidRPr="00F41C53" w14:paraId="1650EDF4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458A9B61" w14:textId="7BB9D464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Age (years)</w:t>
                  </w:r>
                </w:p>
              </w:tc>
              <w:tc>
                <w:tcPr>
                  <w:tcW w:w="2675" w:type="dxa"/>
                </w:tcPr>
                <w:p w14:paraId="7177A70F" w14:textId="0BBF3BC8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58.3±15.2</w:t>
                  </w:r>
                </w:p>
              </w:tc>
            </w:tr>
            <w:tr w:rsidR="00F41C53" w:rsidRPr="00F41C53" w14:paraId="262E932B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26064C74" w14:textId="44C3CBC0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Gender (male/female)</w:t>
                  </w:r>
                </w:p>
              </w:tc>
              <w:tc>
                <w:tcPr>
                  <w:tcW w:w="2675" w:type="dxa"/>
                </w:tcPr>
                <w:p w14:paraId="5AAFD295" w14:textId="1A28B624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43 (40.2%) / 64 (59.8%)</w:t>
                  </w:r>
                </w:p>
              </w:tc>
            </w:tr>
            <w:tr w:rsidR="00F41C53" w:rsidRPr="00F41C53" w14:paraId="020C04A4" w14:textId="77777777" w:rsidTr="00755D25">
              <w:trPr>
                <w:trHeight w:val="251"/>
              </w:trPr>
              <w:tc>
                <w:tcPr>
                  <w:tcW w:w="3409" w:type="dxa"/>
                </w:tcPr>
                <w:p w14:paraId="116D0D0D" w14:textId="599A2186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Asthma onset (childhood/adult)</w:t>
                  </w:r>
                </w:p>
              </w:tc>
              <w:tc>
                <w:tcPr>
                  <w:tcW w:w="2675" w:type="dxa"/>
                </w:tcPr>
                <w:p w14:paraId="1F9A6B1D" w14:textId="26E0519B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55 (51.4%) / 36 (33.6%)</w:t>
                  </w:r>
                </w:p>
              </w:tc>
            </w:tr>
            <w:tr w:rsidR="00F41C53" w:rsidRPr="00F41C53" w14:paraId="7915F929" w14:textId="77777777" w:rsidTr="00755D25">
              <w:trPr>
                <w:trHeight w:val="251"/>
              </w:trPr>
              <w:tc>
                <w:tcPr>
                  <w:tcW w:w="3409" w:type="dxa"/>
                </w:tcPr>
                <w:p w14:paraId="6F6F6701" w14:textId="7DE0EA3F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Pre-biologic FEV1 (%predicted)</w:t>
                  </w:r>
                </w:p>
              </w:tc>
              <w:tc>
                <w:tcPr>
                  <w:tcW w:w="2675" w:type="dxa"/>
                </w:tcPr>
                <w:p w14:paraId="1FCF91B8" w14:textId="0E81F14A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58.7</w:t>
                  </w: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18.9</w:t>
                  </w:r>
                </w:p>
              </w:tc>
            </w:tr>
            <w:tr w:rsidR="00F41C53" w:rsidRPr="00F41C53" w14:paraId="4C525320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4AC3D591" w14:textId="04168486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Atopic (</w:t>
                  </w:r>
                  <w:r w:rsidR="00827CAD">
                    <w:rPr>
                      <w:rFonts w:ascii="Arial" w:hAnsi="Arial" w:cs="Arial"/>
                      <w:sz w:val="22"/>
                      <w:szCs w:val="22"/>
                    </w:rPr>
                    <w:t>RAST</w:t>
                  </w: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 xml:space="preserve"> or SPT positive)</w:t>
                  </w:r>
                </w:p>
              </w:tc>
              <w:tc>
                <w:tcPr>
                  <w:tcW w:w="2675" w:type="dxa"/>
                </w:tcPr>
                <w:p w14:paraId="55E4F9DC" w14:textId="5F638AE5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84 (78.5%)</w:t>
                  </w:r>
                </w:p>
              </w:tc>
            </w:tr>
            <w:tr w:rsidR="00F41C53" w:rsidRPr="00F41C53" w14:paraId="75093AC5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518358C8" w14:textId="42496F63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Eosinophilic (≥ 0.</w:t>
                  </w:r>
                  <w:r w:rsidR="00B255E1">
                    <w:rPr>
                      <w:rFonts w:ascii="Arial" w:hAnsi="Arial" w:cs="Arial"/>
                      <w:sz w:val="22"/>
                      <w:szCs w:val="22"/>
                    </w:rPr>
                    <w:t>3x10</w:t>
                  </w:r>
                  <w:r w:rsidR="00B255E1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9</w:t>
                  </w:r>
                  <w:r w:rsidR="00B255E1">
                    <w:rPr>
                      <w:rFonts w:ascii="Arial" w:hAnsi="Arial" w:cs="Arial"/>
                      <w:sz w:val="22"/>
                      <w:szCs w:val="22"/>
                    </w:rPr>
                    <w:t>/L</w:t>
                  </w: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75" w:type="dxa"/>
                </w:tcPr>
                <w:p w14:paraId="36F1CB18" w14:textId="08D45593" w:rsidR="00F41C53" w:rsidRPr="00F41C53" w:rsidRDefault="00F41C5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63 (58.9%)</w:t>
                  </w:r>
                </w:p>
              </w:tc>
            </w:tr>
            <w:tr w:rsidR="00F41C53" w:rsidRPr="00F41C53" w14:paraId="722D89C7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5EB71197" w14:textId="7B45CDA9" w:rsidR="00F41C53" w:rsidRPr="00D85AD4" w:rsidRDefault="00EC47E3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FeNO</w:t>
                  </w:r>
                  <w:proofErr w:type="spellEnd"/>
                  <w:r w:rsidR="00D85AD4" w:rsidRPr="00D85AD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85AD4" w:rsidRPr="00D85AD4">
                    <w:rPr>
                      <w:rFonts w:ascii="Arial" w:hAnsi="Arial" w:cs="Arial"/>
                      <w:sz w:val="22"/>
                      <w:szCs w:val="22"/>
                    </w:rPr>
                    <w:sym w:font="Symbol" w:char="F03E"/>
                  </w:r>
                  <w:r w:rsidR="00D85AD4" w:rsidRPr="00D85AD4"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ppb</w:t>
                  </w:r>
                </w:p>
              </w:tc>
              <w:tc>
                <w:tcPr>
                  <w:tcW w:w="2675" w:type="dxa"/>
                </w:tcPr>
                <w:p w14:paraId="302AB9FA" w14:textId="3FEFC135" w:rsidR="00F41C53" w:rsidRPr="00D85AD4" w:rsidRDefault="00D85AD4" w:rsidP="00F41C5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D85AD4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62 (57.9%)</w:t>
                  </w:r>
                </w:p>
              </w:tc>
            </w:tr>
            <w:tr w:rsidR="00D85AD4" w:rsidRPr="00F41C53" w14:paraId="40E9123D" w14:textId="77777777" w:rsidTr="00755D25">
              <w:trPr>
                <w:trHeight w:val="236"/>
              </w:trPr>
              <w:tc>
                <w:tcPr>
                  <w:tcW w:w="3409" w:type="dxa"/>
                </w:tcPr>
                <w:p w14:paraId="585DBDAA" w14:textId="4001660B" w:rsidR="00D85AD4" w:rsidRPr="00F41C53" w:rsidRDefault="00D85AD4" w:rsidP="00D85AD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Pre-biologic OCS-dependent</w:t>
                  </w:r>
                </w:p>
              </w:tc>
              <w:tc>
                <w:tcPr>
                  <w:tcW w:w="2675" w:type="dxa"/>
                </w:tcPr>
                <w:p w14:paraId="1F41F88E" w14:textId="10B496FB" w:rsidR="00D85AD4" w:rsidRPr="00F41C53" w:rsidRDefault="00D85AD4" w:rsidP="00D85AD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1C53">
                    <w:rPr>
                      <w:rFonts w:ascii="Arial" w:hAnsi="Arial" w:cs="Arial"/>
                      <w:sz w:val="22"/>
                      <w:szCs w:val="22"/>
                    </w:rPr>
                    <w:t>45 (42.1%)</w:t>
                  </w:r>
                </w:p>
              </w:tc>
            </w:tr>
          </w:tbl>
          <w:p w14:paraId="78808711" w14:textId="7063354A" w:rsidR="00DD780F" w:rsidRPr="00DD780F" w:rsidRDefault="00DD780F" w:rsidP="0038330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41C53">
              <w:rPr>
                <w:rFonts w:ascii="Arial" w:hAnsi="Arial" w:cs="Arial"/>
                <w:sz w:val="22"/>
                <w:szCs w:val="22"/>
              </w:rPr>
              <w:t xml:space="preserve">*data presented as </w:t>
            </w:r>
            <w:proofErr w:type="spellStart"/>
            <w:r w:rsidRPr="00F41C53">
              <w:rPr>
                <w:rFonts w:ascii="Arial" w:hAnsi="Arial" w:cs="Arial"/>
                <w:sz w:val="22"/>
                <w:szCs w:val="22"/>
              </w:rPr>
              <w:t>mean</w:t>
            </w:r>
            <w:r w:rsidRPr="00F41C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±SD</w:t>
            </w:r>
            <w:proofErr w:type="spellEnd"/>
            <w:r w:rsidRPr="00F41C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or </w:t>
            </w:r>
            <w:proofErr w:type="gramStart"/>
            <w:r w:rsidRPr="00F41C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number(</w:t>
            </w:r>
            <w:proofErr w:type="gramEnd"/>
            <w:r w:rsidRPr="00F41C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%)</w:t>
            </w:r>
          </w:p>
          <w:p w14:paraId="1ABE0485" w14:textId="3B27FA89" w:rsidR="00DD780F" w:rsidRPr="00DD780F" w:rsidRDefault="00DD780F" w:rsidP="0038330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>
              <w:rPr>
                <w:rStyle w:val="hgkelc"/>
                <w:rFonts w:ascii="Arial" w:hAnsi="Arial" w:cs="Arial"/>
                <w:sz w:val="22"/>
                <w:szCs w:val="22"/>
                <w:lang w:val="en"/>
              </w:rPr>
              <w:t>FeNO</w:t>
            </w:r>
            <w:proofErr w:type="spellEnd"/>
            <w:r>
              <w:rPr>
                <w:rStyle w:val="hgkelc"/>
                <w:rFonts w:ascii="Arial" w:hAnsi="Arial" w:cs="Arial"/>
                <w:sz w:val="22"/>
                <w:szCs w:val="22"/>
                <w:lang w:val="en"/>
              </w:rPr>
              <w:t xml:space="preserve">, fractional exhaled nitric oxide; </w:t>
            </w:r>
            <w:r w:rsidRPr="00DD780F">
              <w:rPr>
                <w:rFonts w:ascii="Arial" w:hAnsi="Arial" w:cs="Arial"/>
                <w:sz w:val="22"/>
                <w:szCs w:val="22"/>
              </w:rPr>
              <w:t xml:space="preserve">RAST, </w:t>
            </w:r>
            <w:proofErr w:type="spellStart"/>
            <w:r w:rsidR="00B43D05">
              <w:rPr>
                <w:rStyle w:val="hgkelc"/>
                <w:rFonts w:ascii="Arial" w:hAnsi="Arial" w:cs="Arial"/>
                <w:sz w:val="22"/>
                <w:szCs w:val="22"/>
                <w:lang w:val="en"/>
              </w:rPr>
              <w:t>r</w:t>
            </w:r>
            <w:r w:rsidRPr="00DD780F">
              <w:rPr>
                <w:rStyle w:val="hgkelc"/>
                <w:rFonts w:ascii="Arial" w:hAnsi="Arial" w:cs="Arial"/>
                <w:sz w:val="22"/>
                <w:szCs w:val="22"/>
                <w:lang w:val="en"/>
              </w:rPr>
              <w:t>adioallergosorbent</w:t>
            </w:r>
            <w:proofErr w:type="spellEnd"/>
            <w:r w:rsidRPr="00DD780F">
              <w:rPr>
                <w:rStyle w:val="hgkelc"/>
                <w:rFonts w:ascii="Arial" w:hAnsi="Arial" w:cs="Arial"/>
                <w:sz w:val="22"/>
                <w:szCs w:val="22"/>
                <w:lang w:val="en"/>
              </w:rPr>
              <w:t xml:space="preserve"> test</w:t>
            </w:r>
            <w:r>
              <w:rPr>
                <w:rStyle w:val="hgkelc"/>
                <w:rFonts w:ascii="Arial" w:hAnsi="Arial" w:cs="Arial"/>
                <w:sz w:val="22"/>
                <w:szCs w:val="22"/>
                <w:lang w:val="en"/>
              </w:rPr>
              <w:t xml:space="preserve">; SPT, skin prick test; </w:t>
            </w:r>
          </w:p>
          <w:p w14:paraId="6E2CF5E9" w14:textId="77777777" w:rsidR="00140DD8" w:rsidRPr="00383304" w:rsidRDefault="00140DD8" w:rsidP="00A14400">
            <w:pPr>
              <w:pStyle w:val="Pa12"/>
              <w:rPr>
                <w:rStyle w:val="A4"/>
                <w:b/>
                <w:bCs/>
              </w:rPr>
            </w:pPr>
          </w:p>
          <w:p w14:paraId="74EA345B" w14:textId="09791453" w:rsidR="00D85AD4" w:rsidRDefault="001564A4" w:rsidP="00A14400">
            <w:pPr>
              <w:pStyle w:val="Pa12"/>
              <w:rPr>
                <w:rStyle w:val="A4"/>
                <w:bCs/>
              </w:rPr>
            </w:pPr>
            <w:r w:rsidRPr="00383304">
              <w:rPr>
                <w:rStyle w:val="A4"/>
                <w:b/>
                <w:bCs/>
              </w:rPr>
              <w:t xml:space="preserve">Conclusion: </w:t>
            </w:r>
            <w:r w:rsidR="00D85AD4">
              <w:rPr>
                <w:rStyle w:val="A4"/>
                <w:bCs/>
              </w:rPr>
              <w:t>Majority of asthmatics</w:t>
            </w:r>
            <w:r w:rsidR="00C76023">
              <w:rPr>
                <w:rStyle w:val="A4"/>
                <w:bCs/>
              </w:rPr>
              <w:t xml:space="preserve"> achieved </w:t>
            </w:r>
            <w:r w:rsidR="00113B0D">
              <w:rPr>
                <w:rStyle w:val="A4"/>
                <w:bCs/>
              </w:rPr>
              <w:t>good asthma control with a</w:t>
            </w:r>
            <w:r w:rsidR="00334FB9">
              <w:rPr>
                <w:rStyle w:val="A4"/>
                <w:bCs/>
              </w:rPr>
              <w:t xml:space="preserve"> single </w:t>
            </w:r>
            <w:r w:rsidR="00113B0D">
              <w:rPr>
                <w:rStyle w:val="A4"/>
                <w:bCs/>
              </w:rPr>
              <w:t>biologic</w:t>
            </w:r>
            <w:r w:rsidR="0002227E">
              <w:rPr>
                <w:rStyle w:val="A4"/>
                <w:bCs/>
              </w:rPr>
              <w:t xml:space="preserve"> agent</w:t>
            </w:r>
            <w:r w:rsidR="00113B0D">
              <w:rPr>
                <w:rStyle w:val="A4"/>
                <w:bCs/>
              </w:rPr>
              <w:t xml:space="preserve"> although</w:t>
            </w:r>
            <w:r w:rsidR="00334FB9">
              <w:rPr>
                <w:rStyle w:val="A4"/>
                <w:bCs/>
              </w:rPr>
              <w:t xml:space="preserve"> 16.8% required at least one biologic switch. Importantly, almost</w:t>
            </w:r>
            <w:r w:rsidR="00113B0D">
              <w:rPr>
                <w:rStyle w:val="A4"/>
                <w:bCs/>
              </w:rPr>
              <w:t xml:space="preserve"> 1 in 5 </w:t>
            </w:r>
            <w:r w:rsidR="00612DC3">
              <w:rPr>
                <w:rStyle w:val="A4"/>
                <w:bCs/>
              </w:rPr>
              <w:t>patients</w:t>
            </w:r>
            <w:r w:rsidR="00113B0D">
              <w:rPr>
                <w:rStyle w:val="A4"/>
                <w:bCs/>
              </w:rPr>
              <w:t xml:space="preserve"> </w:t>
            </w:r>
            <w:r w:rsidR="0002227E">
              <w:rPr>
                <w:rStyle w:val="A4"/>
                <w:bCs/>
              </w:rPr>
              <w:t>were referred for BT</w:t>
            </w:r>
            <w:r w:rsidR="00334FB9">
              <w:rPr>
                <w:rStyle w:val="A4"/>
                <w:bCs/>
              </w:rPr>
              <w:t xml:space="preserve"> despite treatment with an asthma biologic</w:t>
            </w:r>
            <w:r w:rsidR="006972CD">
              <w:rPr>
                <w:rStyle w:val="A4"/>
                <w:bCs/>
              </w:rPr>
              <w:t xml:space="preserve">. This </w:t>
            </w:r>
            <w:r w:rsidR="00612DC3">
              <w:rPr>
                <w:rStyle w:val="A4"/>
                <w:bCs/>
              </w:rPr>
              <w:t>highligh</w:t>
            </w:r>
            <w:r w:rsidR="006972CD">
              <w:rPr>
                <w:rStyle w:val="A4"/>
                <w:bCs/>
              </w:rPr>
              <w:t>ts</w:t>
            </w:r>
            <w:r w:rsidR="00612DC3">
              <w:rPr>
                <w:rStyle w:val="A4"/>
                <w:bCs/>
              </w:rPr>
              <w:t xml:space="preserve"> the role of BT in the management of this unique cohort of patients. </w:t>
            </w:r>
          </w:p>
          <w:p w14:paraId="7F8067EE" w14:textId="77777777" w:rsidR="000C39A3" w:rsidRDefault="000C39A3" w:rsidP="000A28E2">
            <w:pPr>
              <w:pStyle w:val="Pa12"/>
            </w:pPr>
          </w:p>
          <w:p w14:paraId="2BF78675" w14:textId="238C952D" w:rsidR="0002227E" w:rsidRPr="00B33B73" w:rsidRDefault="001564A4" w:rsidP="0002227E">
            <w:pPr>
              <w:pStyle w:val="Pa12"/>
              <w:rPr>
                <w:sz w:val="22"/>
                <w:szCs w:val="22"/>
              </w:rPr>
            </w:pPr>
            <w:r w:rsidRPr="00383304">
              <w:rPr>
                <w:rStyle w:val="A4"/>
                <w:b/>
                <w:bCs/>
              </w:rPr>
              <w:t xml:space="preserve">Grant Support: </w:t>
            </w:r>
            <w:r w:rsidR="00E80458" w:rsidRPr="00383304">
              <w:rPr>
                <w:rStyle w:val="A4"/>
              </w:rPr>
              <w:t xml:space="preserve">No grants to disclose. </w:t>
            </w:r>
            <w:r w:rsidRPr="00383304">
              <w:rPr>
                <w:sz w:val="22"/>
                <w:szCs w:val="22"/>
              </w:rPr>
              <w:br/>
            </w:r>
          </w:p>
          <w:p w14:paraId="7F8381F0" w14:textId="62B8F36C" w:rsidR="001564A4" w:rsidRPr="00B33B73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B33B73">
              <w:rPr>
                <w:sz w:val="22"/>
                <w:szCs w:val="22"/>
              </w:rPr>
              <w:br/>
            </w:r>
          </w:p>
          <w:p w14:paraId="731CD908" w14:textId="77777777" w:rsidR="001564A4" w:rsidRPr="00B33B73" w:rsidRDefault="001564A4" w:rsidP="000A28E2">
            <w:pPr>
              <w:pStyle w:val="Default"/>
            </w:pPr>
          </w:p>
          <w:p w14:paraId="34BF0A0F" w14:textId="77777777" w:rsidR="001564A4" w:rsidRPr="00B33B73" w:rsidRDefault="001564A4" w:rsidP="000A28E2">
            <w:pPr>
              <w:pStyle w:val="Default"/>
            </w:pPr>
          </w:p>
          <w:p w14:paraId="1FF1A88F" w14:textId="77777777" w:rsidR="001564A4" w:rsidRPr="00B33B73" w:rsidRDefault="001564A4" w:rsidP="000A28E2">
            <w:pPr>
              <w:pStyle w:val="Pa12"/>
              <w:rPr>
                <w:rStyle w:val="A4"/>
                <w:bCs/>
              </w:rPr>
            </w:pP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  <w:r w:rsidRPr="00B33B73">
              <w:rPr>
                <w:rStyle w:val="A4"/>
                <w:bCs/>
              </w:rPr>
              <w:br/>
            </w:r>
          </w:p>
          <w:p w14:paraId="14DC37E4" w14:textId="77777777" w:rsidR="001564A4" w:rsidRPr="00B33B73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33B73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  <w:r w:rsidRPr="00B33B73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57816E4" w14:textId="1DA918E6" w:rsidR="00AB72CF" w:rsidRDefault="00AB72CF" w:rsidP="00AB72CF">
      <w:pPr>
        <w:rPr>
          <w:rFonts w:ascii="Arial" w:hAnsi="Arial" w:cs="Arial"/>
          <w:sz w:val="22"/>
          <w:szCs w:val="22"/>
        </w:rPr>
      </w:pPr>
    </w:p>
    <w:p w14:paraId="04959581" w14:textId="71F295A1" w:rsidR="00AB72CF" w:rsidRPr="00AB72CF" w:rsidRDefault="00AB72CF" w:rsidP="00AB72CF">
      <w:pPr>
        <w:rPr>
          <w:rFonts w:ascii="Arial" w:hAnsi="Arial" w:cs="Arial"/>
          <w:sz w:val="22"/>
          <w:szCs w:val="22"/>
        </w:rPr>
      </w:pPr>
      <w:r w:rsidRPr="00AB72CF">
        <w:rPr>
          <w:rFonts w:ascii="Arial" w:hAnsi="Arial" w:cs="Arial"/>
          <w:b/>
          <w:bCs/>
          <w:sz w:val="22"/>
          <w:szCs w:val="22"/>
        </w:rPr>
        <w:t>Key words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Asthma, Biologics, Bronchial thermoplasty.</w:t>
      </w:r>
    </w:p>
    <w:p w14:paraId="49D9695E" w14:textId="70AD98C6" w:rsidR="00903A0B" w:rsidRPr="00903A0B" w:rsidRDefault="00903A0B" w:rsidP="00903A0B">
      <w:pPr>
        <w:rPr>
          <w:rFonts w:ascii="Arial" w:hAnsi="Arial" w:cs="Arial"/>
          <w:sz w:val="22"/>
          <w:szCs w:val="22"/>
        </w:rPr>
      </w:pPr>
    </w:p>
    <w:sectPr w:rsidR="00903A0B" w:rsidRPr="00903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5471E"/>
    <w:multiLevelType w:val="hybridMultilevel"/>
    <w:tmpl w:val="35CA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1AFF"/>
    <w:multiLevelType w:val="hybridMultilevel"/>
    <w:tmpl w:val="D1E245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00BF9"/>
    <w:multiLevelType w:val="hybridMultilevel"/>
    <w:tmpl w:val="0248E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5CAC"/>
    <w:rsid w:val="0002227E"/>
    <w:rsid w:val="00046A76"/>
    <w:rsid w:val="0008663E"/>
    <w:rsid w:val="000C39A3"/>
    <w:rsid w:val="000D235D"/>
    <w:rsid w:val="00113B0D"/>
    <w:rsid w:val="00126205"/>
    <w:rsid w:val="00140DD8"/>
    <w:rsid w:val="001564A4"/>
    <w:rsid w:val="001B34FC"/>
    <w:rsid w:val="0020045B"/>
    <w:rsid w:val="00211184"/>
    <w:rsid w:val="002231EA"/>
    <w:rsid w:val="00260BB1"/>
    <w:rsid w:val="00265BC3"/>
    <w:rsid w:val="00285A44"/>
    <w:rsid w:val="002C1149"/>
    <w:rsid w:val="002F6A8E"/>
    <w:rsid w:val="00334FB9"/>
    <w:rsid w:val="00351C23"/>
    <w:rsid w:val="00351F0C"/>
    <w:rsid w:val="00365B15"/>
    <w:rsid w:val="00383304"/>
    <w:rsid w:val="00386CE7"/>
    <w:rsid w:val="003A3858"/>
    <w:rsid w:val="003A4130"/>
    <w:rsid w:val="00501078"/>
    <w:rsid w:val="0050237F"/>
    <w:rsid w:val="0051574E"/>
    <w:rsid w:val="00527F5F"/>
    <w:rsid w:val="00540DA6"/>
    <w:rsid w:val="00556D55"/>
    <w:rsid w:val="005704B2"/>
    <w:rsid w:val="005736B4"/>
    <w:rsid w:val="005B34E9"/>
    <w:rsid w:val="005E01F0"/>
    <w:rsid w:val="005E494B"/>
    <w:rsid w:val="005F4DC9"/>
    <w:rsid w:val="00612DC3"/>
    <w:rsid w:val="00663570"/>
    <w:rsid w:val="00676981"/>
    <w:rsid w:val="006972CD"/>
    <w:rsid w:val="006B0B7D"/>
    <w:rsid w:val="006B53EF"/>
    <w:rsid w:val="006F3555"/>
    <w:rsid w:val="006F64E5"/>
    <w:rsid w:val="006F7DFA"/>
    <w:rsid w:val="00716777"/>
    <w:rsid w:val="00752463"/>
    <w:rsid w:val="00755D25"/>
    <w:rsid w:val="007918CC"/>
    <w:rsid w:val="007A1974"/>
    <w:rsid w:val="007B1317"/>
    <w:rsid w:val="00823C7A"/>
    <w:rsid w:val="00827CAD"/>
    <w:rsid w:val="0084175E"/>
    <w:rsid w:val="0086520C"/>
    <w:rsid w:val="008803FA"/>
    <w:rsid w:val="008B2312"/>
    <w:rsid w:val="00903A0B"/>
    <w:rsid w:val="00926BAC"/>
    <w:rsid w:val="00932D57"/>
    <w:rsid w:val="009357C5"/>
    <w:rsid w:val="00941D44"/>
    <w:rsid w:val="009D253A"/>
    <w:rsid w:val="00A14400"/>
    <w:rsid w:val="00A259DD"/>
    <w:rsid w:val="00A879E7"/>
    <w:rsid w:val="00AB72CF"/>
    <w:rsid w:val="00B12E32"/>
    <w:rsid w:val="00B255E1"/>
    <w:rsid w:val="00B33B73"/>
    <w:rsid w:val="00B43D05"/>
    <w:rsid w:val="00B4435E"/>
    <w:rsid w:val="00B519F5"/>
    <w:rsid w:val="00B87E40"/>
    <w:rsid w:val="00BA3480"/>
    <w:rsid w:val="00C72EC0"/>
    <w:rsid w:val="00C76023"/>
    <w:rsid w:val="00D101DE"/>
    <w:rsid w:val="00D1113F"/>
    <w:rsid w:val="00D85AD4"/>
    <w:rsid w:val="00DA6FB3"/>
    <w:rsid w:val="00DD780F"/>
    <w:rsid w:val="00E0700F"/>
    <w:rsid w:val="00E1406A"/>
    <w:rsid w:val="00E77ECE"/>
    <w:rsid w:val="00E80458"/>
    <w:rsid w:val="00E90E69"/>
    <w:rsid w:val="00EA06A2"/>
    <w:rsid w:val="00EA1750"/>
    <w:rsid w:val="00EB6703"/>
    <w:rsid w:val="00EC47E3"/>
    <w:rsid w:val="00ED5E26"/>
    <w:rsid w:val="00F26B90"/>
    <w:rsid w:val="00F41C53"/>
    <w:rsid w:val="00FB2B41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527F5F"/>
    <w:pPr>
      <w:spacing w:before="100" w:beforeAutospacing="1" w:after="100" w:afterAutospacing="1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6F64E5"/>
    <w:pPr>
      <w:ind w:left="720"/>
      <w:contextualSpacing/>
    </w:pPr>
  </w:style>
  <w:style w:type="paragraph" w:styleId="Revision">
    <w:name w:val="Revision"/>
    <w:hidden/>
    <w:uiPriority w:val="99"/>
    <w:semiHidden/>
    <w:rsid w:val="00BA34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57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6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D55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55"/>
    <w:rPr>
      <w:rFonts w:ascii="Times New Roman" w:eastAsia="Times New Roman" w:hAnsi="Times New Roman" w:cs="Times New Roman"/>
      <w:b/>
      <w:bCs/>
      <w:lang w:val="en-GB"/>
    </w:rPr>
  </w:style>
  <w:style w:type="paragraph" w:styleId="NoSpacing">
    <w:name w:val="No Spacing"/>
    <w:uiPriority w:val="1"/>
    <w:qFormat/>
    <w:rsid w:val="0038330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4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DD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3</cp:revision>
  <dcterms:created xsi:type="dcterms:W3CDTF">2023-10-20T23:49:00Z</dcterms:created>
  <dcterms:modified xsi:type="dcterms:W3CDTF">2023-10-20T23:50:00Z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