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05616" w14:paraId="372C741A" w14:textId="77777777">
        <w:tc>
          <w:tcPr>
            <w:tcW w:w="8640" w:type="dxa"/>
          </w:tcPr>
          <w:p w14:paraId="26737A6D" w14:textId="77777777" w:rsidR="002B7FC8" w:rsidRPr="00605616" w:rsidRDefault="00F16B61" w:rsidP="00E20B7A">
            <w:pPr>
              <w:jc w:val="both"/>
              <w:rPr>
                <w:rFonts w:ascii="Arial" w:hAnsi="Arial" w:cs="Arial"/>
                <w:sz w:val="22"/>
                <w:szCs w:val="22"/>
              </w:rPr>
            </w:pPr>
            <w:r w:rsidRPr="00605616">
              <w:rPr>
                <w:rFonts w:ascii="Arial" w:hAnsi="Arial" w:cs="Arial"/>
                <w:b/>
                <w:sz w:val="22"/>
                <w:szCs w:val="22"/>
              </w:rPr>
              <w:t>Title</w:t>
            </w:r>
            <w:r w:rsidR="003A6236" w:rsidRPr="00605616">
              <w:rPr>
                <w:rFonts w:ascii="Arial" w:hAnsi="Arial" w:cs="Arial"/>
                <w:b/>
                <w:sz w:val="22"/>
                <w:szCs w:val="22"/>
              </w:rPr>
              <w:t xml:space="preserve"> of Symposium</w:t>
            </w:r>
            <w:r w:rsidR="00D93B88" w:rsidRPr="00605616">
              <w:rPr>
                <w:rFonts w:ascii="Arial" w:hAnsi="Arial" w:cs="Arial"/>
                <w:b/>
                <w:sz w:val="22"/>
                <w:szCs w:val="22"/>
              </w:rPr>
              <w:t>:</w:t>
            </w:r>
            <w:r w:rsidR="00E36AD7" w:rsidRPr="00605616">
              <w:rPr>
                <w:rFonts w:ascii="Arial" w:hAnsi="Arial" w:cs="Arial"/>
                <w:b/>
                <w:sz w:val="22"/>
                <w:szCs w:val="22"/>
              </w:rPr>
              <w:t xml:space="preserve"> </w:t>
            </w:r>
            <w:r w:rsidR="00E20B7A" w:rsidRPr="00605616">
              <w:rPr>
                <w:rFonts w:ascii="Arial" w:hAnsi="Arial" w:cs="Arial"/>
                <w:sz w:val="22"/>
                <w:szCs w:val="22"/>
              </w:rPr>
              <w:t>E</w:t>
            </w:r>
            <w:r w:rsidR="00D93B88" w:rsidRPr="00605616">
              <w:rPr>
                <w:rFonts w:ascii="Arial" w:hAnsi="Arial" w:cs="Arial"/>
                <w:sz w:val="22"/>
                <w:szCs w:val="22"/>
              </w:rPr>
              <w:t>nvironments for health equity in older age</w:t>
            </w:r>
            <w:r w:rsidR="00E20B7A" w:rsidRPr="00605616">
              <w:rPr>
                <w:rFonts w:ascii="Arial" w:hAnsi="Arial" w:cs="Arial"/>
                <w:sz w:val="22"/>
                <w:szCs w:val="22"/>
              </w:rPr>
              <w:t>: Taking a life course perspective</w:t>
            </w:r>
          </w:p>
        </w:tc>
      </w:tr>
      <w:tr w:rsidR="002B7FC8" w:rsidRPr="00605616" w14:paraId="60742862" w14:textId="77777777" w:rsidTr="00D71EFE">
        <w:trPr>
          <w:trHeight w:val="7663"/>
        </w:trPr>
        <w:tc>
          <w:tcPr>
            <w:tcW w:w="8640" w:type="dxa"/>
          </w:tcPr>
          <w:p w14:paraId="3F6ECE61" w14:textId="77777777" w:rsidR="00DA7A71" w:rsidRPr="00605616" w:rsidRDefault="00DA7A71" w:rsidP="00605616">
            <w:pPr>
              <w:spacing w:after="120"/>
              <w:jc w:val="both"/>
              <w:rPr>
                <w:rFonts w:ascii="Arial" w:hAnsi="Arial" w:cs="Arial"/>
                <w:b/>
                <w:sz w:val="22"/>
                <w:szCs w:val="22"/>
              </w:rPr>
            </w:pPr>
            <w:bookmarkStart w:id="0" w:name="_GoBack"/>
            <w:bookmarkEnd w:id="0"/>
          </w:p>
          <w:p w14:paraId="18F03D47" w14:textId="77777777" w:rsidR="00DA7A71" w:rsidRPr="00605616" w:rsidRDefault="003A6236" w:rsidP="00605616">
            <w:pPr>
              <w:spacing w:after="120"/>
              <w:jc w:val="both"/>
              <w:rPr>
                <w:rFonts w:ascii="Arial" w:hAnsi="Arial" w:cs="Arial"/>
                <w:b/>
                <w:sz w:val="22"/>
                <w:szCs w:val="22"/>
              </w:rPr>
            </w:pPr>
            <w:r w:rsidRPr="00605616">
              <w:rPr>
                <w:rFonts w:ascii="Arial" w:hAnsi="Arial" w:cs="Arial"/>
                <w:b/>
                <w:sz w:val="22"/>
                <w:szCs w:val="22"/>
              </w:rPr>
              <w:t>General Objective</w:t>
            </w:r>
          </w:p>
          <w:p w14:paraId="536B7EB2" w14:textId="77777777" w:rsidR="00815D83" w:rsidRPr="00605616" w:rsidRDefault="00815D83" w:rsidP="00276387">
            <w:pPr>
              <w:spacing w:after="120"/>
              <w:rPr>
                <w:rFonts w:ascii="Arial" w:hAnsi="Arial" w:cs="Arial"/>
                <w:sz w:val="22"/>
                <w:szCs w:val="22"/>
              </w:rPr>
            </w:pPr>
            <w:r w:rsidRPr="00605616">
              <w:rPr>
                <w:rFonts w:ascii="Arial" w:hAnsi="Arial" w:cs="Arial"/>
                <w:sz w:val="22"/>
                <w:szCs w:val="22"/>
              </w:rPr>
              <w:t xml:space="preserve">The New Zealand cross government Positive Ageing Strategy (Ministry of Social Development, 2001) is currently being reviewed. This is an ideal time to consider contributions that research can make to policies for the promotion </w:t>
            </w:r>
            <w:r w:rsidR="00605616">
              <w:rPr>
                <w:rFonts w:ascii="Arial" w:hAnsi="Arial" w:cs="Arial"/>
                <w:sz w:val="22"/>
                <w:szCs w:val="22"/>
              </w:rPr>
              <w:t xml:space="preserve">of the health of older people. </w:t>
            </w:r>
            <w:r w:rsidRPr="00605616">
              <w:rPr>
                <w:rFonts w:ascii="Arial" w:hAnsi="Arial" w:cs="Arial"/>
                <w:sz w:val="22"/>
                <w:szCs w:val="22"/>
              </w:rPr>
              <w:t>The current Positive Ageing Strategy focusses on older people as a discreet group of the population (whose needs must be balanced aga</w:t>
            </w:r>
            <w:r w:rsidR="00605616">
              <w:rPr>
                <w:rFonts w:ascii="Arial" w:hAnsi="Arial" w:cs="Arial"/>
                <w:sz w:val="22"/>
                <w:szCs w:val="22"/>
              </w:rPr>
              <w:t xml:space="preserve">inst those of younger groups). </w:t>
            </w:r>
            <w:r w:rsidRPr="00605616">
              <w:rPr>
                <w:rFonts w:ascii="Arial" w:hAnsi="Arial" w:cs="Arial"/>
                <w:sz w:val="22"/>
                <w:szCs w:val="22"/>
              </w:rPr>
              <w:t xml:space="preserve">The strategy is aimed at supporting people who have already </w:t>
            </w:r>
            <w:proofErr w:type="gramStart"/>
            <w:r w:rsidRPr="00605616">
              <w:rPr>
                <w:rFonts w:ascii="Arial" w:hAnsi="Arial" w:cs="Arial"/>
                <w:sz w:val="22"/>
                <w:szCs w:val="22"/>
              </w:rPr>
              <w:t>aged, and</w:t>
            </w:r>
            <w:proofErr w:type="gramEnd"/>
            <w:r w:rsidRPr="00605616">
              <w:rPr>
                <w:rFonts w:ascii="Arial" w:hAnsi="Arial" w:cs="Arial"/>
                <w:sz w:val="22"/>
                <w:szCs w:val="22"/>
              </w:rPr>
              <w:t xml:space="preserve"> does not include the recognition that a lifetime of ageing contributes to wellbeing after 65.</w:t>
            </w:r>
          </w:p>
          <w:p w14:paraId="5DE84B74" w14:textId="77777777" w:rsidR="00815D83" w:rsidRPr="00605616" w:rsidRDefault="00815D83" w:rsidP="00276387">
            <w:pPr>
              <w:pStyle w:val="Introductoryparagraph"/>
              <w:spacing w:line="240" w:lineRule="auto"/>
              <w:rPr>
                <w:rFonts w:ascii="Arial" w:hAnsi="Arial" w:cs="Arial"/>
                <w:sz w:val="22"/>
                <w:szCs w:val="22"/>
              </w:rPr>
            </w:pPr>
            <w:r w:rsidRPr="00605616">
              <w:rPr>
                <w:rFonts w:ascii="Arial" w:hAnsi="Arial" w:cs="Arial"/>
                <w:sz w:val="22"/>
                <w:szCs w:val="22"/>
              </w:rPr>
              <w:t xml:space="preserve">The more recent Healthy Ageing Strategy (Ministry of Health, 2016) has highlighted the direction for change by </w:t>
            </w:r>
            <w:r w:rsidR="00605616">
              <w:rPr>
                <w:rFonts w:ascii="Arial" w:hAnsi="Arial" w:cs="Arial"/>
                <w:sz w:val="22"/>
                <w:szCs w:val="22"/>
              </w:rPr>
              <w:t xml:space="preserve">taking a life course approach. </w:t>
            </w:r>
            <w:r w:rsidRPr="00605616">
              <w:rPr>
                <w:rFonts w:ascii="Arial" w:hAnsi="Arial" w:cs="Arial"/>
                <w:sz w:val="22"/>
                <w:szCs w:val="22"/>
              </w:rPr>
              <w:t>This approach recognises the broader influences on people’s health including health in younger years, exposure to health risks such as poor housing, workplace discrimination and family violence, and access to resources and opportunities. The strategy “recognises that we age in different ways and have different needs at different times, and that our health is affected by our environment.” (p.6). A focus here is on reducing health inequities by removing barriers to equal opportunities and building on the factors that support equity.</w:t>
            </w:r>
          </w:p>
          <w:p w14:paraId="33A38459" w14:textId="77777777" w:rsidR="00815D83" w:rsidRPr="00605616" w:rsidRDefault="00815D83" w:rsidP="00276387">
            <w:pPr>
              <w:spacing w:after="120"/>
              <w:rPr>
                <w:rFonts w:ascii="Arial" w:hAnsi="Arial" w:cs="Arial"/>
                <w:sz w:val="22"/>
                <w:szCs w:val="22"/>
                <w:lang w:eastAsia="en-GB"/>
              </w:rPr>
            </w:pPr>
            <w:r w:rsidRPr="00605616">
              <w:rPr>
                <w:rFonts w:ascii="Arial" w:hAnsi="Arial" w:cs="Arial"/>
                <w:sz w:val="22"/>
                <w:szCs w:val="22"/>
                <w:lang w:eastAsia="en-GB"/>
              </w:rPr>
              <w:t xml:space="preserve">In this symposium we aim to contribute to the development of this approach </w:t>
            </w:r>
            <w:r w:rsidR="00605616">
              <w:rPr>
                <w:rFonts w:ascii="Arial" w:hAnsi="Arial" w:cs="Arial"/>
                <w:sz w:val="22"/>
                <w:szCs w:val="22"/>
                <w:lang w:eastAsia="en-GB"/>
              </w:rPr>
              <w:t xml:space="preserve">to healthy ageing in Aotearoa. </w:t>
            </w:r>
            <w:r w:rsidRPr="00605616">
              <w:rPr>
                <w:rFonts w:ascii="Arial" w:hAnsi="Arial" w:cs="Arial"/>
                <w:sz w:val="22"/>
                <w:szCs w:val="22"/>
                <w:lang w:eastAsia="en-GB"/>
              </w:rPr>
              <w:t xml:space="preserve">The research presentations will report on longitudinal research which highlights the specific lifetime and environmental factors that support good health in older age. These findings can contribute to the new Positive Ageing Strategy and to the review of the Healthy Ageing Strategy by suggesting specific </w:t>
            </w:r>
            <w:r w:rsidR="00605616" w:rsidRPr="00605616">
              <w:rPr>
                <w:rFonts w:ascii="Arial" w:hAnsi="Arial" w:cs="Arial"/>
                <w:sz w:val="22"/>
                <w:szCs w:val="22"/>
                <w:lang w:eastAsia="en-GB"/>
              </w:rPr>
              <w:t>areas that</w:t>
            </w:r>
            <w:r w:rsidRPr="00605616">
              <w:rPr>
                <w:rFonts w:ascii="Arial" w:hAnsi="Arial" w:cs="Arial"/>
                <w:sz w:val="22"/>
                <w:szCs w:val="22"/>
                <w:lang w:eastAsia="en-GB"/>
              </w:rPr>
              <w:t xml:space="preserve"> are directly amenable to i</w:t>
            </w:r>
            <w:r w:rsidR="00605616">
              <w:rPr>
                <w:rFonts w:ascii="Arial" w:hAnsi="Arial" w:cs="Arial"/>
                <w:sz w:val="22"/>
                <w:szCs w:val="22"/>
                <w:lang w:eastAsia="en-GB"/>
              </w:rPr>
              <w:t xml:space="preserve">nfluence by government policy. </w:t>
            </w:r>
            <w:r w:rsidRPr="00605616">
              <w:rPr>
                <w:rFonts w:ascii="Arial" w:hAnsi="Arial" w:cs="Arial"/>
                <w:sz w:val="22"/>
                <w:szCs w:val="22"/>
                <w:lang w:eastAsia="en-GB"/>
              </w:rPr>
              <w:t>Specific childhood factors that predict poor health in older age are highlighted for immediate policy attention; alcohol use across the life course suggests ongoing consideration of the laws governing the provision of alcohol; and good quality housing for older people is shown to be an important aspect of the environment related to trajectories of health in older age. The importance of these research findings for policy will be discussed.</w:t>
            </w:r>
          </w:p>
          <w:p w14:paraId="231910B1" w14:textId="77777777" w:rsidR="00DA7A71" w:rsidRPr="00605616" w:rsidRDefault="00DA7A71" w:rsidP="00276387">
            <w:pPr>
              <w:spacing w:after="120"/>
              <w:jc w:val="both"/>
              <w:rPr>
                <w:rFonts w:ascii="Arial" w:hAnsi="Arial" w:cs="Arial"/>
                <w:sz w:val="22"/>
                <w:szCs w:val="22"/>
              </w:rPr>
            </w:pPr>
          </w:p>
          <w:p w14:paraId="13A21F49" w14:textId="77777777" w:rsidR="00DA7A71" w:rsidRPr="00605616" w:rsidRDefault="003A6236" w:rsidP="00276387">
            <w:pPr>
              <w:spacing w:after="120"/>
              <w:jc w:val="both"/>
              <w:rPr>
                <w:rFonts w:ascii="Arial" w:hAnsi="Arial" w:cs="Arial"/>
                <w:b/>
                <w:sz w:val="22"/>
                <w:szCs w:val="22"/>
              </w:rPr>
            </w:pPr>
            <w:r w:rsidRPr="00605616">
              <w:rPr>
                <w:rFonts w:ascii="Arial" w:hAnsi="Arial" w:cs="Arial"/>
                <w:b/>
                <w:sz w:val="22"/>
                <w:szCs w:val="22"/>
              </w:rPr>
              <w:t>Proposed format of the session</w:t>
            </w:r>
          </w:p>
          <w:p w14:paraId="4D96E3D9" w14:textId="77777777" w:rsidR="00DA7A71" w:rsidRPr="00605616" w:rsidRDefault="000A27DA" w:rsidP="00276387">
            <w:pPr>
              <w:spacing w:after="120"/>
              <w:jc w:val="both"/>
              <w:rPr>
                <w:rFonts w:ascii="Arial" w:hAnsi="Arial" w:cs="Arial"/>
                <w:sz w:val="22"/>
                <w:szCs w:val="22"/>
              </w:rPr>
            </w:pPr>
            <w:r w:rsidRPr="00605616">
              <w:rPr>
                <w:rFonts w:ascii="Arial" w:hAnsi="Arial" w:cs="Arial"/>
                <w:sz w:val="22"/>
                <w:szCs w:val="22"/>
              </w:rPr>
              <w:t xml:space="preserve">This session will include three research presentations </w:t>
            </w:r>
            <w:r w:rsidR="00F47924" w:rsidRPr="00605616">
              <w:rPr>
                <w:rFonts w:ascii="Arial" w:hAnsi="Arial" w:cs="Arial"/>
                <w:sz w:val="22"/>
                <w:szCs w:val="22"/>
              </w:rPr>
              <w:t xml:space="preserve">of 15 minutes each </w:t>
            </w:r>
            <w:r w:rsidRPr="00605616">
              <w:rPr>
                <w:rFonts w:ascii="Arial" w:hAnsi="Arial" w:cs="Arial"/>
                <w:sz w:val="22"/>
                <w:szCs w:val="22"/>
              </w:rPr>
              <w:t>followed by a moderated discussion</w:t>
            </w:r>
            <w:r w:rsidR="00F47924" w:rsidRPr="00605616">
              <w:rPr>
                <w:rFonts w:ascii="Arial" w:hAnsi="Arial" w:cs="Arial"/>
                <w:sz w:val="22"/>
                <w:szCs w:val="22"/>
              </w:rPr>
              <w:t xml:space="preserve"> of 45 minutes</w:t>
            </w:r>
            <w:r w:rsidRPr="00605616">
              <w:rPr>
                <w:rFonts w:ascii="Arial" w:hAnsi="Arial" w:cs="Arial"/>
                <w:sz w:val="22"/>
                <w:szCs w:val="22"/>
              </w:rPr>
              <w:t xml:space="preserve"> with </w:t>
            </w:r>
            <w:r w:rsidR="008D0830">
              <w:rPr>
                <w:rFonts w:ascii="Arial" w:hAnsi="Arial" w:cs="Arial"/>
                <w:sz w:val="22"/>
                <w:szCs w:val="22"/>
              </w:rPr>
              <w:t xml:space="preserve">the </w:t>
            </w:r>
            <w:r w:rsidR="007421FE">
              <w:rPr>
                <w:rFonts w:ascii="Arial" w:hAnsi="Arial" w:cs="Arial"/>
                <w:sz w:val="22"/>
                <w:szCs w:val="22"/>
              </w:rPr>
              <w:t>Vice-President of</w:t>
            </w:r>
            <w:r w:rsidR="00F47924" w:rsidRPr="00605616">
              <w:rPr>
                <w:rFonts w:ascii="Arial" w:hAnsi="Arial" w:cs="Arial"/>
                <w:sz w:val="22"/>
                <w:szCs w:val="22"/>
              </w:rPr>
              <w:t xml:space="preserve"> Grey Power. </w:t>
            </w:r>
            <w:r w:rsidRPr="00605616">
              <w:rPr>
                <w:rFonts w:ascii="Arial" w:hAnsi="Arial" w:cs="Arial"/>
                <w:sz w:val="22"/>
                <w:szCs w:val="22"/>
              </w:rPr>
              <w:t>Th</w:t>
            </w:r>
            <w:r w:rsidR="00787661" w:rsidRPr="00605616">
              <w:rPr>
                <w:rFonts w:ascii="Arial" w:hAnsi="Arial" w:cs="Arial"/>
                <w:sz w:val="22"/>
                <w:szCs w:val="22"/>
              </w:rPr>
              <w:t>e moderated</w:t>
            </w:r>
            <w:r w:rsidRPr="00605616">
              <w:rPr>
                <w:rFonts w:ascii="Arial" w:hAnsi="Arial" w:cs="Arial"/>
                <w:sz w:val="22"/>
                <w:szCs w:val="22"/>
              </w:rPr>
              <w:t xml:space="preserve"> discussion will focus on the policy and practice implications of the research </w:t>
            </w:r>
            <w:r w:rsidR="00787661" w:rsidRPr="00605616">
              <w:rPr>
                <w:rFonts w:ascii="Arial" w:hAnsi="Arial" w:cs="Arial"/>
                <w:sz w:val="22"/>
                <w:szCs w:val="22"/>
              </w:rPr>
              <w:t>findings presented</w:t>
            </w:r>
            <w:r w:rsidR="00605616">
              <w:rPr>
                <w:rFonts w:ascii="Arial" w:hAnsi="Arial" w:cs="Arial"/>
                <w:sz w:val="22"/>
                <w:szCs w:val="22"/>
              </w:rPr>
              <w:t>.</w:t>
            </w:r>
          </w:p>
          <w:p w14:paraId="30AFDBBE" w14:textId="77777777" w:rsidR="00DA7A71" w:rsidRPr="00605616" w:rsidRDefault="00DA7A71" w:rsidP="00276387">
            <w:pPr>
              <w:spacing w:after="120"/>
              <w:jc w:val="both"/>
              <w:rPr>
                <w:rFonts w:ascii="Arial" w:hAnsi="Arial" w:cs="Arial"/>
                <w:b/>
                <w:sz w:val="22"/>
                <w:szCs w:val="22"/>
              </w:rPr>
            </w:pPr>
          </w:p>
          <w:p w14:paraId="658DCEAE" w14:textId="77777777" w:rsidR="00226B3A" w:rsidRPr="00605616" w:rsidRDefault="003A6236" w:rsidP="00276387">
            <w:pPr>
              <w:spacing w:after="120"/>
              <w:jc w:val="both"/>
              <w:rPr>
                <w:rFonts w:ascii="Arial" w:hAnsi="Arial" w:cs="Arial"/>
                <w:sz w:val="22"/>
                <w:szCs w:val="22"/>
              </w:rPr>
            </w:pPr>
            <w:r w:rsidRPr="00605616">
              <w:rPr>
                <w:rFonts w:ascii="Arial" w:hAnsi="Arial" w:cs="Arial"/>
                <w:b/>
                <w:sz w:val="22"/>
                <w:szCs w:val="22"/>
              </w:rPr>
              <w:t>Conference theme and/or subthemes addressed</w:t>
            </w:r>
            <w:r w:rsidR="00226B3A" w:rsidRPr="00605616">
              <w:rPr>
                <w:rFonts w:ascii="Arial" w:hAnsi="Arial" w:cs="Arial"/>
                <w:sz w:val="22"/>
                <w:szCs w:val="22"/>
              </w:rPr>
              <w:t xml:space="preserve"> </w:t>
            </w:r>
          </w:p>
          <w:p w14:paraId="0C3ECE11" w14:textId="77777777" w:rsidR="00DA7A71" w:rsidRPr="00605616" w:rsidRDefault="00226B3A" w:rsidP="00276387">
            <w:pPr>
              <w:spacing w:after="120"/>
              <w:jc w:val="both"/>
              <w:rPr>
                <w:rFonts w:ascii="Arial" w:hAnsi="Arial" w:cs="Arial"/>
                <w:bCs/>
                <w:sz w:val="22"/>
                <w:szCs w:val="22"/>
              </w:rPr>
            </w:pPr>
            <w:r w:rsidRPr="00605616">
              <w:rPr>
                <w:rFonts w:ascii="Arial" w:hAnsi="Arial" w:cs="Arial"/>
                <w:sz w:val="22"/>
                <w:szCs w:val="22"/>
              </w:rPr>
              <w:t>Health equity</w:t>
            </w:r>
            <w:r w:rsidR="000A27DA" w:rsidRPr="00605616">
              <w:rPr>
                <w:rFonts w:ascii="Arial" w:hAnsi="Arial" w:cs="Arial"/>
                <w:sz w:val="22"/>
                <w:szCs w:val="22"/>
              </w:rPr>
              <w:t xml:space="preserve"> - </w:t>
            </w:r>
            <w:r w:rsidRPr="00605616">
              <w:rPr>
                <w:rFonts w:ascii="Arial" w:hAnsi="Arial" w:cs="Arial"/>
                <w:sz w:val="22"/>
                <w:szCs w:val="22"/>
              </w:rPr>
              <w:t>Ensure health eq</w:t>
            </w:r>
            <w:r w:rsidR="00787661" w:rsidRPr="00605616">
              <w:rPr>
                <w:rFonts w:ascii="Arial" w:hAnsi="Arial" w:cs="Arial"/>
                <w:sz w:val="22"/>
                <w:szCs w:val="22"/>
              </w:rPr>
              <w:t>uity throughout the life course</w:t>
            </w:r>
            <w:r w:rsidRPr="00605616">
              <w:rPr>
                <w:rFonts w:ascii="Arial" w:hAnsi="Arial" w:cs="Arial"/>
                <w:sz w:val="22"/>
                <w:szCs w:val="22"/>
              </w:rPr>
              <w:t>.</w:t>
            </w:r>
            <w:r w:rsidR="00787661" w:rsidRPr="00605616">
              <w:rPr>
                <w:rFonts w:ascii="Arial" w:hAnsi="Arial" w:cs="Arial"/>
                <w:sz w:val="22"/>
                <w:szCs w:val="22"/>
              </w:rPr>
              <w:t xml:space="preserve"> </w:t>
            </w:r>
          </w:p>
        </w:tc>
      </w:tr>
    </w:tbl>
    <w:p w14:paraId="633E1902" w14:textId="77777777" w:rsidR="00490208" w:rsidRPr="00605616" w:rsidRDefault="00490208" w:rsidP="004C45A1">
      <w:pPr>
        <w:rPr>
          <w:rFonts w:ascii="Arial" w:hAnsi="Arial" w:cs="Arial"/>
          <w:sz w:val="22"/>
          <w:szCs w:val="22"/>
        </w:rPr>
      </w:pPr>
    </w:p>
    <w:p w14:paraId="605240A9" w14:textId="77777777" w:rsidR="00490208" w:rsidRPr="00605616" w:rsidRDefault="00490208">
      <w:pPr>
        <w:rPr>
          <w:rFonts w:ascii="Arial" w:hAnsi="Arial" w:cs="Arial"/>
          <w:sz w:val="22"/>
          <w:szCs w:val="22"/>
        </w:rPr>
      </w:pPr>
      <w:r w:rsidRPr="00605616">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605616" w14:paraId="3D427F49" w14:textId="77777777" w:rsidTr="00BE682F">
        <w:tc>
          <w:tcPr>
            <w:tcW w:w="8640" w:type="dxa"/>
          </w:tcPr>
          <w:p w14:paraId="4E87728E" w14:textId="77777777" w:rsidR="00490208" w:rsidRPr="00605616" w:rsidRDefault="00490208" w:rsidP="00BE682F">
            <w:pPr>
              <w:jc w:val="both"/>
              <w:rPr>
                <w:rFonts w:ascii="Arial" w:hAnsi="Arial" w:cs="Arial"/>
                <w:sz w:val="22"/>
                <w:szCs w:val="22"/>
              </w:rPr>
            </w:pPr>
            <w:r w:rsidRPr="00605616">
              <w:rPr>
                <w:rFonts w:ascii="Arial" w:hAnsi="Arial" w:cs="Arial"/>
                <w:b/>
                <w:sz w:val="22"/>
                <w:szCs w:val="22"/>
              </w:rPr>
              <w:lastRenderedPageBreak/>
              <w:t xml:space="preserve">Title of </w:t>
            </w:r>
            <w:r w:rsidR="00C211D2" w:rsidRPr="00605616">
              <w:rPr>
                <w:rFonts w:ascii="Arial" w:hAnsi="Arial" w:cs="Arial"/>
                <w:b/>
                <w:sz w:val="22"/>
                <w:szCs w:val="22"/>
              </w:rPr>
              <w:t>Presentation 1</w:t>
            </w:r>
            <w:r w:rsidRPr="00605616">
              <w:rPr>
                <w:rFonts w:ascii="Arial" w:hAnsi="Arial" w:cs="Arial"/>
                <w:b/>
                <w:sz w:val="22"/>
                <w:szCs w:val="22"/>
              </w:rPr>
              <w:t xml:space="preserve"> </w:t>
            </w:r>
            <w:r w:rsidR="00D93B88" w:rsidRPr="00605616">
              <w:rPr>
                <w:rFonts w:ascii="Arial" w:hAnsi="Arial" w:cs="Arial"/>
                <w:sz w:val="22"/>
                <w:szCs w:val="22"/>
              </w:rPr>
              <w:t>Importance of early lives to inequalities in older age</w:t>
            </w:r>
          </w:p>
        </w:tc>
      </w:tr>
      <w:tr w:rsidR="00490208" w:rsidRPr="00605616" w14:paraId="0E2095C5" w14:textId="77777777" w:rsidTr="00BE682F">
        <w:trPr>
          <w:trHeight w:val="7663"/>
        </w:trPr>
        <w:tc>
          <w:tcPr>
            <w:tcW w:w="8640" w:type="dxa"/>
          </w:tcPr>
          <w:p w14:paraId="3B19FB39" w14:textId="77777777" w:rsidR="00A52941" w:rsidRPr="00605616" w:rsidRDefault="00A52941" w:rsidP="00A52941">
            <w:pPr>
              <w:jc w:val="both"/>
              <w:rPr>
                <w:rFonts w:ascii="Arial" w:hAnsi="Arial" w:cs="Arial"/>
                <w:b/>
                <w:sz w:val="22"/>
                <w:szCs w:val="22"/>
              </w:rPr>
            </w:pPr>
            <w:r w:rsidRPr="00605616">
              <w:rPr>
                <w:rFonts w:ascii="Arial" w:hAnsi="Arial" w:cs="Arial"/>
                <w:b/>
                <w:sz w:val="22"/>
                <w:szCs w:val="22"/>
              </w:rPr>
              <w:t>Maximum 2500 characters (including spaces but excluding title)</w:t>
            </w:r>
          </w:p>
          <w:p w14:paraId="6EC77C2A" w14:textId="77777777" w:rsidR="00490208" w:rsidRPr="00605616" w:rsidRDefault="00490208" w:rsidP="006D6FD6">
            <w:pPr>
              <w:spacing w:after="120"/>
              <w:jc w:val="both"/>
              <w:rPr>
                <w:rFonts w:ascii="Arial" w:hAnsi="Arial" w:cs="Arial"/>
                <w:b/>
                <w:sz w:val="22"/>
                <w:szCs w:val="22"/>
              </w:rPr>
            </w:pPr>
          </w:p>
          <w:p w14:paraId="75F35BE1" w14:textId="77777777" w:rsidR="00490208" w:rsidRPr="00605616" w:rsidRDefault="00490208" w:rsidP="006D6FD6">
            <w:pPr>
              <w:spacing w:after="120"/>
              <w:jc w:val="both"/>
              <w:rPr>
                <w:rFonts w:ascii="Arial" w:hAnsi="Arial" w:cs="Arial"/>
                <w:b/>
                <w:sz w:val="22"/>
                <w:szCs w:val="22"/>
              </w:rPr>
            </w:pPr>
            <w:r w:rsidRPr="00605616">
              <w:rPr>
                <w:rFonts w:ascii="Arial" w:hAnsi="Arial" w:cs="Arial"/>
                <w:b/>
                <w:sz w:val="22"/>
                <w:szCs w:val="22"/>
              </w:rPr>
              <w:t>General Objective</w:t>
            </w:r>
          </w:p>
          <w:p w14:paraId="1418B410" w14:textId="77777777" w:rsidR="00276387" w:rsidRDefault="003D5BAF" w:rsidP="006D6FD6">
            <w:pPr>
              <w:spacing w:after="120"/>
              <w:jc w:val="both"/>
              <w:rPr>
                <w:rFonts w:ascii="Arial" w:hAnsi="Arial" w:cs="Arial"/>
                <w:sz w:val="22"/>
                <w:szCs w:val="22"/>
              </w:rPr>
            </w:pPr>
            <w:r w:rsidRPr="00605616">
              <w:rPr>
                <w:rFonts w:ascii="Arial" w:hAnsi="Arial" w:cs="Arial"/>
                <w:sz w:val="22"/>
                <w:szCs w:val="22"/>
              </w:rPr>
              <w:t>There are clear d</w:t>
            </w:r>
            <w:r w:rsidR="00D93B88" w:rsidRPr="00605616">
              <w:rPr>
                <w:rFonts w:ascii="Arial" w:hAnsi="Arial" w:cs="Arial"/>
                <w:sz w:val="22"/>
                <w:szCs w:val="22"/>
              </w:rPr>
              <w:t>ifference</w:t>
            </w:r>
            <w:r w:rsidR="00531B17" w:rsidRPr="00605616">
              <w:rPr>
                <w:rFonts w:ascii="Arial" w:hAnsi="Arial" w:cs="Arial"/>
                <w:sz w:val="22"/>
                <w:szCs w:val="22"/>
              </w:rPr>
              <w:t>s</w:t>
            </w:r>
            <w:r w:rsidR="00D93B88" w:rsidRPr="00605616">
              <w:rPr>
                <w:rFonts w:ascii="Arial" w:hAnsi="Arial" w:cs="Arial"/>
                <w:sz w:val="22"/>
                <w:szCs w:val="22"/>
              </w:rPr>
              <w:t xml:space="preserve"> in how older people age</w:t>
            </w:r>
            <w:r w:rsidR="007421FE">
              <w:rPr>
                <w:rFonts w:ascii="Arial" w:hAnsi="Arial" w:cs="Arial"/>
                <w:sz w:val="22"/>
                <w:szCs w:val="22"/>
              </w:rPr>
              <w:t xml:space="preserve">. Although </w:t>
            </w:r>
            <w:proofErr w:type="gramStart"/>
            <w:r w:rsidR="007421FE">
              <w:rPr>
                <w:rFonts w:ascii="Arial" w:hAnsi="Arial" w:cs="Arial"/>
                <w:sz w:val="22"/>
                <w:szCs w:val="22"/>
              </w:rPr>
              <w:t xml:space="preserve">most </w:t>
            </w:r>
            <w:r w:rsidRPr="00605616">
              <w:rPr>
                <w:rFonts w:ascii="Arial" w:hAnsi="Arial" w:cs="Arial"/>
                <w:sz w:val="22"/>
                <w:szCs w:val="22"/>
              </w:rPr>
              <w:t>older</w:t>
            </w:r>
            <w:proofErr w:type="gramEnd"/>
            <w:r w:rsidRPr="00605616">
              <w:rPr>
                <w:rFonts w:ascii="Arial" w:hAnsi="Arial" w:cs="Arial"/>
                <w:sz w:val="22"/>
                <w:szCs w:val="22"/>
              </w:rPr>
              <w:t xml:space="preserve"> New Zealanders are ageing well</w:t>
            </w:r>
            <w:r w:rsidR="008B41AE" w:rsidRPr="00605616">
              <w:rPr>
                <w:rFonts w:ascii="Arial" w:hAnsi="Arial" w:cs="Arial"/>
                <w:sz w:val="22"/>
                <w:szCs w:val="22"/>
              </w:rPr>
              <w:t xml:space="preserve">, </w:t>
            </w:r>
            <w:r w:rsidRPr="00605616">
              <w:rPr>
                <w:rFonts w:ascii="Arial" w:hAnsi="Arial" w:cs="Arial"/>
                <w:sz w:val="22"/>
                <w:szCs w:val="22"/>
              </w:rPr>
              <w:t xml:space="preserve">and maintaining physical and mental health, there is a small but important group </w:t>
            </w:r>
            <w:r w:rsidR="007C0521" w:rsidRPr="00605616">
              <w:rPr>
                <w:rFonts w:ascii="Arial" w:hAnsi="Arial" w:cs="Arial"/>
                <w:sz w:val="22"/>
                <w:szCs w:val="22"/>
              </w:rPr>
              <w:t>that</w:t>
            </w:r>
            <w:r w:rsidRPr="00605616">
              <w:rPr>
                <w:rFonts w:ascii="Arial" w:hAnsi="Arial" w:cs="Arial"/>
                <w:sz w:val="22"/>
                <w:szCs w:val="22"/>
              </w:rPr>
              <w:t xml:space="preserve"> reach</w:t>
            </w:r>
            <w:r w:rsidR="007C0521" w:rsidRPr="00605616">
              <w:rPr>
                <w:rFonts w:ascii="Arial" w:hAnsi="Arial" w:cs="Arial"/>
                <w:sz w:val="22"/>
                <w:szCs w:val="22"/>
              </w:rPr>
              <w:t>es</w:t>
            </w:r>
            <w:r w:rsidRPr="00605616">
              <w:rPr>
                <w:rFonts w:ascii="Arial" w:hAnsi="Arial" w:cs="Arial"/>
                <w:sz w:val="22"/>
                <w:szCs w:val="22"/>
              </w:rPr>
              <w:t xml:space="preserve"> later life in compromised health. </w:t>
            </w:r>
            <w:r w:rsidR="00E20B7A" w:rsidRPr="00605616">
              <w:rPr>
                <w:rFonts w:ascii="Arial" w:hAnsi="Arial" w:cs="Arial"/>
                <w:sz w:val="22"/>
                <w:szCs w:val="22"/>
              </w:rPr>
              <w:t xml:space="preserve">The environments and health practices that influence healthy ageing </w:t>
            </w:r>
            <w:r w:rsidR="007C0521" w:rsidRPr="00605616">
              <w:rPr>
                <w:rFonts w:ascii="Arial" w:hAnsi="Arial" w:cs="Arial"/>
                <w:sz w:val="22"/>
                <w:szCs w:val="22"/>
              </w:rPr>
              <w:t xml:space="preserve">generally </w:t>
            </w:r>
            <w:r w:rsidR="00E20B7A" w:rsidRPr="00605616">
              <w:rPr>
                <w:rFonts w:ascii="Arial" w:hAnsi="Arial" w:cs="Arial"/>
                <w:sz w:val="22"/>
                <w:szCs w:val="22"/>
              </w:rPr>
              <w:t>reflect a lifetime of inequitable access to resources.</w:t>
            </w:r>
            <w:r w:rsidR="007C0521" w:rsidRPr="00605616">
              <w:rPr>
                <w:rFonts w:ascii="Arial" w:hAnsi="Arial" w:cs="Arial"/>
                <w:sz w:val="22"/>
                <w:szCs w:val="22"/>
              </w:rPr>
              <w:t xml:space="preserve"> </w:t>
            </w:r>
          </w:p>
          <w:p w14:paraId="12C07DE4" w14:textId="77777777" w:rsidR="00276387" w:rsidRDefault="007C0521" w:rsidP="006D6FD6">
            <w:pPr>
              <w:spacing w:after="120"/>
              <w:jc w:val="both"/>
              <w:rPr>
                <w:rFonts w:ascii="Arial" w:hAnsi="Arial" w:cs="Arial"/>
                <w:sz w:val="22"/>
                <w:szCs w:val="22"/>
              </w:rPr>
            </w:pPr>
            <w:r w:rsidRPr="00605616">
              <w:rPr>
                <w:rFonts w:ascii="Arial" w:hAnsi="Arial" w:cs="Arial"/>
                <w:sz w:val="22"/>
                <w:szCs w:val="22"/>
              </w:rPr>
              <w:t xml:space="preserve">Older people who reach old age in </w:t>
            </w:r>
            <w:r w:rsidR="004F5860" w:rsidRPr="00605616">
              <w:rPr>
                <w:rFonts w:ascii="Arial" w:hAnsi="Arial" w:cs="Arial"/>
                <w:sz w:val="22"/>
                <w:szCs w:val="22"/>
              </w:rPr>
              <w:t>poor</w:t>
            </w:r>
            <w:r w:rsidRPr="00605616">
              <w:rPr>
                <w:rFonts w:ascii="Arial" w:hAnsi="Arial" w:cs="Arial"/>
                <w:sz w:val="22"/>
                <w:szCs w:val="22"/>
              </w:rPr>
              <w:t xml:space="preserve"> health are further disadvantaged by health promotion advice to increase physical activi</w:t>
            </w:r>
            <w:r w:rsidR="004F5860" w:rsidRPr="00605616">
              <w:rPr>
                <w:rFonts w:ascii="Arial" w:hAnsi="Arial" w:cs="Arial"/>
                <w:sz w:val="22"/>
                <w:szCs w:val="22"/>
              </w:rPr>
              <w:t>ty or maintain work or volunteering</w:t>
            </w:r>
            <w:r w:rsidRPr="00605616">
              <w:rPr>
                <w:rFonts w:ascii="Arial" w:hAnsi="Arial" w:cs="Arial"/>
                <w:sz w:val="22"/>
                <w:szCs w:val="22"/>
              </w:rPr>
              <w:t>.</w:t>
            </w:r>
            <w:r w:rsidR="00E20B7A" w:rsidRPr="00605616">
              <w:rPr>
                <w:rFonts w:ascii="Arial" w:hAnsi="Arial" w:cs="Arial"/>
                <w:sz w:val="22"/>
                <w:szCs w:val="22"/>
              </w:rPr>
              <w:t xml:space="preserve"> </w:t>
            </w:r>
            <w:r w:rsidR="003D5BAF" w:rsidRPr="00605616">
              <w:rPr>
                <w:rFonts w:ascii="Arial" w:hAnsi="Arial" w:cs="Arial"/>
                <w:sz w:val="22"/>
                <w:szCs w:val="22"/>
              </w:rPr>
              <w:t xml:space="preserve">Examining the factors that predict vulnerable health in later life provides a focus for </w:t>
            </w:r>
            <w:r w:rsidR="004F5860" w:rsidRPr="00605616">
              <w:rPr>
                <w:rFonts w:ascii="Arial" w:hAnsi="Arial" w:cs="Arial"/>
                <w:sz w:val="22"/>
                <w:szCs w:val="22"/>
              </w:rPr>
              <w:t xml:space="preserve">early </w:t>
            </w:r>
            <w:r w:rsidR="003D5BAF" w:rsidRPr="00605616">
              <w:rPr>
                <w:rFonts w:ascii="Arial" w:hAnsi="Arial" w:cs="Arial"/>
                <w:sz w:val="22"/>
                <w:szCs w:val="22"/>
              </w:rPr>
              <w:t xml:space="preserve">intervention to improve the health of future generations of older people. </w:t>
            </w:r>
            <w:r w:rsidR="00D93B88" w:rsidRPr="00605616">
              <w:rPr>
                <w:rFonts w:ascii="Arial" w:hAnsi="Arial" w:cs="Arial"/>
                <w:sz w:val="22"/>
                <w:szCs w:val="22"/>
              </w:rPr>
              <w:t xml:space="preserve">In this presentation, we will examine the life course factors that best predict whether older people will have robust or vulnerable health in later life. </w:t>
            </w:r>
          </w:p>
          <w:p w14:paraId="7DAA5084" w14:textId="77777777" w:rsidR="00276387" w:rsidRDefault="008B41AE" w:rsidP="006D6FD6">
            <w:pPr>
              <w:spacing w:after="120"/>
              <w:jc w:val="both"/>
              <w:rPr>
                <w:rFonts w:ascii="Arial" w:hAnsi="Arial" w:cs="Arial"/>
                <w:sz w:val="22"/>
                <w:szCs w:val="22"/>
              </w:rPr>
            </w:pPr>
            <w:r w:rsidRPr="00605616">
              <w:rPr>
                <w:rFonts w:ascii="Arial" w:hAnsi="Arial" w:cs="Arial"/>
                <w:sz w:val="22"/>
                <w:szCs w:val="22"/>
              </w:rPr>
              <w:t>Using the Health, Work and Retirement longitudinal study of ageing life history data, we will demonstrate how early life factors such as childhood socioeconomic status</w:t>
            </w:r>
            <w:r w:rsidR="00E20B7A" w:rsidRPr="00605616">
              <w:rPr>
                <w:rFonts w:ascii="Arial" w:hAnsi="Arial" w:cs="Arial"/>
                <w:sz w:val="22"/>
                <w:szCs w:val="22"/>
              </w:rPr>
              <w:t xml:space="preserve">, childhood health, and </w:t>
            </w:r>
            <w:r w:rsidR="00EA44DE">
              <w:rPr>
                <w:rFonts w:ascii="Arial" w:hAnsi="Arial" w:cs="Arial"/>
                <w:sz w:val="22"/>
                <w:szCs w:val="22"/>
              </w:rPr>
              <w:t>lifetime education and occupational status</w:t>
            </w:r>
            <w:r w:rsidR="004F5860" w:rsidRPr="00605616">
              <w:rPr>
                <w:rFonts w:ascii="Arial" w:hAnsi="Arial" w:cs="Arial"/>
                <w:sz w:val="22"/>
                <w:szCs w:val="22"/>
              </w:rPr>
              <w:t xml:space="preserve"> </w:t>
            </w:r>
            <w:r w:rsidRPr="00605616">
              <w:rPr>
                <w:rFonts w:ascii="Arial" w:hAnsi="Arial" w:cs="Arial"/>
                <w:sz w:val="22"/>
                <w:szCs w:val="22"/>
              </w:rPr>
              <w:t xml:space="preserve">influence health over the whole life course. </w:t>
            </w:r>
            <w:r w:rsidR="00700A7E" w:rsidRPr="00605616">
              <w:rPr>
                <w:rFonts w:ascii="Arial" w:hAnsi="Arial" w:cs="Arial"/>
                <w:sz w:val="22"/>
                <w:szCs w:val="22"/>
              </w:rPr>
              <w:t>Examining</w:t>
            </w:r>
            <w:r w:rsidR="00D93B88" w:rsidRPr="00605616">
              <w:rPr>
                <w:rFonts w:ascii="Arial" w:hAnsi="Arial" w:cs="Arial"/>
                <w:sz w:val="22"/>
                <w:szCs w:val="22"/>
              </w:rPr>
              <w:t xml:space="preserve"> these factors provides a clear focus for efforts to ensure health equity throughout the life</w:t>
            </w:r>
            <w:r w:rsidR="00D16E9D" w:rsidRPr="00605616">
              <w:rPr>
                <w:rFonts w:ascii="Arial" w:hAnsi="Arial" w:cs="Arial"/>
                <w:sz w:val="22"/>
                <w:szCs w:val="22"/>
              </w:rPr>
              <w:t xml:space="preserve"> </w:t>
            </w:r>
            <w:r w:rsidR="00D93B88" w:rsidRPr="00605616">
              <w:rPr>
                <w:rFonts w:ascii="Arial" w:hAnsi="Arial" w:cs="Arial"/>
                <w:sz w:val="22"/>
                <w:szCs w:val="22"/>
              </w:rPr>
              <w:t>course</w:t>
            </w:r>
            <w:r w:rsidR="00700A7E" w:rsidRPr="00605616">
              <w:rPr>
                <w:rFonts w:ascii="Arial" w:hAnsi="Arial" w:cs="Arial"/>
                <w:sz w:val="22"/>
                <w:szCs w:val="22"/>
              </w:rPr>
              <w:t xml:space="preserve">, and consequently minimise the health </w:t>
            </w:r>
            <w:r w:rsidR="00D16E9D" w:rsidRPr="00605616">
              <w:rPr>
                <w:rFonts w:ascii="Arial" w:hAnsi="Arial" w:cs="Arial"/>
                <w:sz w:val="22"/>
                <w:szCs w:val="22"/>
              </w:rPr>
              <w:t>disparities</w:t>
            </w:r>
            <w:r w:rsidR="00700A7E" w:rsidRPr="00605616">
              <w:rPr>
                <w:rFonts w:ascii="Arial" w:hAnsi="Arial" w:cs="Arial"/>
                <w:sz w:val="22"/>
                <w:szCs w:val="22"/>
              </w:rPr>
              <w:t xml:space="preserve"> we see in later life in New Zealand.</w:t>
            </w:r>
            <w:r w:rsidR="00D93B88" w:rsidRPr="00605616">
              <w:rPr>
                <w:rFonts w:ascii="Arial" w:hAnsi="Arial" w:cs="Arial"/>
                <w:sz w:val="22"/>
                <w:szCs w:val="22"/>
              </w:rPr>
              <w:t xml:space="preserve"> </w:t>
            </w:r>
          </w:p>
          <w:p w14:paraId="09DFDD1B" w14:textId="77777777" w:rsidR="00490208" w:rsidRPr="00605616" w:rsidRDefault="003D5BAF" w:rsidP="006D6FD6">
            <w:pPr>
              <w:spacing w:after="120"/>
              <w:jc w:val="both"/>
              <w:rPr>
                <w:rFonts w:ascii="Arial" w:hAnsi="Arial" w:cs="Arial"/>
                <w:sz w:val="22"/>
                <w:szCs w:val="22"/>
              </w:rPr>
            </w:pPr>
            <w:r w:rsidRPr="00605616">
              <w:rPr>
                <w:rFonts w:ascii="Arial" w:hAnsi="Arial" w:cs="Arial"/>
                <w:sz w:val="22"/>
                <w:szCs w:val="22"/>
              </w:rPr>
              <w:t>Recognition of the factors that produce vulnerability alter</w:t>
            </w:r>
            <w:r w:rsidR="00E20B7A" w:rsidRPr="00605616">
              <w:rPr>
                <w:rFonts w:ascii="Arial" w:hAnsi="Arial" w:cs="Arial"/>
                <w:sz w:val="22"/>
                <w:szCs w:val="22"/>
              </w:rPr>
              <w:t>s</w:t>
            </w:r>
            <w:r w:rsidRPr="00605616">
              <w:rPr>
                <w:rFonts w:ascii="Arial" w:hAnsi="Arial" w:cs="Arial"/>
                <w:sz w:val="22"/>
                <w:szCs w:val="22"/>
              </w:rPr>
              <w:t xml:space="preserve"> the focus from healthy behaviour in later life to environments for health equity</w:t>
            </w:r>
            <w:r w:rsidR="006D6FD6">
              <w:rPr>
                <w:rFonts w:ascii="Arial" w:hAnsi="Arial" w:cs="Arial"/>
                <w:sz w:val="22"/>
                <w:szCs w:val="22"/>
              </w:rPr>
              <w:t xml:space="preserve"> across the life course</w:t>
            </w:r>
            <w:r w:rsidRPr="00605616">
              <w:rPr>
                <w:rFonts w:ascii="Arial" w:hAnsi="Arial" w:cs="Arial"/>
                <w:sz w:val="22"/>
                <w:szCs w:val="22"/>
              </w:rPr>
              <w:t>.</w:t>
            </w:r>
          </w:p>
          <w:p w14:paraId="6C31FFBD" w14:textId="77777777" w:rsidR="00490208" w:rsidRPr="00605616" w:rsidRDefault="00490208" w:rsidP="006D6FD6">
            <w:pPr>
              <w:spacing w:after="120"/>
              <w:jc w:val="both"/>
              <w:rPr>
                <w:rFonts w:ascii="Arial" w:hAnsi="Arial" w:cs="Arial"/>
                <w:sz w:val="22"/>
                <w:szCs w:val="22"/>
              </w:rPr>
            </w:pPr>
          </w:p>
          <w:p w14:paraId="552CF8EF" w14:textId="77777777" w:rsidR="00490208" w:rsidRPr="00605616" w:rsidRDefault="00490208" w:rsidP="006D6FD6">
            <w:pPr>
              <w:spacing w:after="120"/>
              <w:jc w:val="both"/>
              <w:rPr>
                <w:rFonts w:ascii="Arial" w:hAnsi="Arial" w:cs="Arial"/>
                <w:b/>
                <w:sz w:val="22"/>
                <w:szCs w:val="22"/>
              </w:rPr>
            </w:pPr>
            <w:r w:rsidRPr="00605616">
              <w:rPr>
                <w:rFonts w:ascii="Arial" w:hAnsi="Arial" w:cs="Arial"/>
                <w:b/>
                <w:sz w:val="22"/>
                <w:szCs w:val="22"/>
              </w:rPr>
              <w:t>Proposed format of the session</w:t>
            </w:r>
          </w:p>
          <w:p w14:paraId="3956CBA8" w14:textId="77777777" w:rsidR="00490208" w:rsidRPr="00605616" w:rsidRDefault="006D6FD6" w:rsidP="006D6FD6">
            <w:pPr>
              <w:spacing w:after="120"/>
              <w:jc w:val="both"/>
              <w:rPr>
                <w:rFonts w:ascii="Arial" w:hAnsi="Arial" w:cs="Arial"/>
                <w:sz w:val="22"/>
                <w:szCs w:val="22"/>
              </w:rPr>
            </w:pPr>
            <w:r>
              <w:rPr>
                <w:rFonts w:ascii="Arial" w:hAnsi="Arial" w:cs="Arial"/>
                <w:sz w:val="22"/>
                <w:szCs w:val="22"/>
              </w:rPr>
              <w:t xml:space="preserve">Research </w:t>
            </w:r>
            <w:r w:rsidR="00531B17" w:rsidRPr="00605616">
              <w:rPr>
                <w:rFonts w:ascii="Arial" w:hAnsi="Arial" w:cs="Arial"/>
                <w:sz w:val="22"/>
                <w:szCs w:val="22"/>
              </w:rPr>
              <w:t>Presentation</w:t>
            </w:r>
          </w:p>
          <w:p w14:paraId="51CFB5E9" w14:textId="77777777" w:rsidR="00490208" w:rsidRPr="00605616" w:rsidRDefault="00490208" w:rsidP="006D6FD6">
            <w:pPr>
              <w:spacing w:after="120"/>
              <w:jc w:val="both"/>
              <w:rPr>
                <w:rFonts w:ascii="Arial" w:hAnsi="Arial" w:cs="Arial"/>
                <w:b/>
                <w:sz w:val="22"/>
                <w:szCs w:val="22"/>
              </w:rPr>
            </w:pPr>
          </w:p>
          <w:p w14:paraId="2882893B" w14:textId="77777777" w:rsidR="00490208" w:rsidRPr="00605616" w:rsidRDefault="00490208" w:rsidP="006D6FD6">
            <w:pPr>
              <w:spacing w:after="120"/>
              <w:jc w:val="both"/>
              <w:rPr>
                <w:rFonts w:ascii="Arial" w:hAnsi="Arial" w:cs="Arial"/>
                <w:b/>
                <w:sz w:val="22"/>
                <w:szCs w:val="22"/>
              </w:rPr>
            </w:pPr>
            <w:r w:rsidRPr="00605616">
              <w:rPr>
                <w:rFonts w:ascii="Arial" w:hAnsi="Arial" w:cs="Arial"/>
                <w:b/>
                <w:sz w:val="22"/>
                <w:szCs w:val="22"/>
              </w:rPr>
              <w:t>Conference theme and/or subthemes addressed</w:t>
            </w:r>
          </w:p>
          <w:p w14:paraId="32D77141" w14:textId="77777777" w:rsidR="00490208" w:rsidRPr="00605616" w:rsidRDefault="006D6FD6" w:rsidP="009B1083">
            <w:pPr>
              <w:spacing w:after="120"/>
              <w:jc w:val="both"/>
              <w:rPr>
                <w:rFonts w:ascii="Arial" w:hAnsi="Arial" w:cs="Arial"/>
                <w:bCs/>
                <w:sz w:val="22"/>
                <w:szCs w:val="22"/>
              </w:rPr>
            </w:pPr>
            <w:r w:rsidRPr="00605616">
              <w:rPr>
                <w:rFonts w:ascii="Arial" w:hAnsi="Arial" w:cs="Arial"/>
                <w:sz w:val="22"/>
                <w:szCs w:val="22"/>
              </w:rPr>
              <w:t xml:space="preserve">Health equity - Ensure health equity throughout the life course. </w:t>
            </w:r>
          </w:p>
        </w:tc>
      </w:tr>
    </w:tbl>
    <w:p w14:paraId="131E612A" w14:textId="77777777" w:rsidR="00F407AD" w:rsidRPr="00605616" w:rsidRDefault="00F407AD" w:rsidP="004C45A1">
      <w:pPr>
        <w:rPr>
          <w:rFonts w:ascii="Arial" w:hAnsi="Arial" w:cs="Arial"/>
          <w:sz w:val="22"/>
          <w:szCs w:val="22"/>
        </w:rPr>
      </w:pPr>
    </w:p>
    <w:p w14:paraId="0F823D63" w14:textId="77777777" w:rsidR="00F407AD" w:rsidRPr="00605616" w:rsidRDefault="00F407AD">
      <w:pPr>
        <w:rPr>
          <w:rFonts w:ascii="Arial" w:hAnsi="Arial" w:cs="Arial"/>
          <w:sz w:val="22"/>
          <w:szCs w:val="22"/>
        </w:rPr>
      </w:pPr>
      <w:r w:rsidRPr="00605616">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05616" w14:paraId="60805913" w14:textId="77777777" w:rsidTr="00BE682F">
        <w:tc>
          <w:tcPr>
            <w:tcW w:w="8640" w:type="dxa"/>
          </w:tcPr>
          <w:p w14:paraId="1279AA20" w14:textId="77777777" w:rsidR="00F407AD" w:rsidRPr="00605616" w:rsidRDefault="00F407AD" w:rsidP="00BE682F">
            <w:pPr>
              <w:jc w:val="both"/>
              <w:rPr>
                <w:rFonts w:ascii="Arial" w:hAnsi="Arial" w:cs="Arial"/>
                <w:sz w:val="22"/>
                <w:szCs w:val="22"/>
              </w:rPr>
            </w:pPr>
            <w:r w:rsidRPr="00605616">
              <w:rPr>
                <w:rFonts w:ascii="Arial" w:hAnsi="Arial" w:cs="Arial"/>
                <w:b/>
                <w:sz w:val="22"/>
                <w:szCs w:val="22"/>
              </w:rPr>
              <w:lastRenderedPageBreak/>
              <w:t xml:space="preserve">Title of Presentation 2 </w:t>
            </w:r>
            <w:r w:rsidR="003E06D7" w:rsidRPr="00605616">
              <w:rPr>
                <w:rFonts w:ascii="Arial" w:hAnsi="Arial" w:cs="Arial"/>
                <w:sz w:val="22"/>
                <w:szCs w:val="22"/>
              </w:rPr>
              <w:t>Alcohol use across the life course: Influences on health in old adulthood</w:t>
            </w:r>
          </w:p>
        </w:tc>
      </w:tr>
      <w:tr w:rsidR="00F407AD" w:rsidRPr="00605616" w14:paraId="7552C3AF" w14:textId="77777777" w:rsidTr="00BE682F">
        <w:trPr>
          <w:trHeight w:val="7663"/>
        </w:trPr>
        <w:tc>
          <w:tcPr>
            <w:tcW w:w="8640" w:type="dxa"/>
          </w:tcPr>
          <w:p w14:paraId="36E62ABC" w14:textId="77777777" w:rsidR="00A52941" w:rsidRPr="00605616" w:rsidRDefault="00A52941" w:rsidP="009B1083">
            <w:pPr>
              <w:spacing w:after="120"/>
              <w:jc w:val="both"/>
              <w:rPr>
                <w:rFonts w:ascii="Arial" w:hAnsi="Arial" w:cs="Arial"/>
                <w:b/>
                <w:sz w:val="22"/>
                <w:szCs w:val="22"/>
              </w:rPr>
            </w:pPr>
            <w:r w:rsidRPr="00605616">
              <w:rPr>
                <w:rFonts w:ascii="Arial" w:hAnsi="Arial" w:cs="Arial"/>
                <w:b/>
                <w:sz w:val="22"/>
                <w:szCs w:val="22"/>
              </w:rPr>
              <w:t>Maximum 2500 characters (including spaces but excluding title)</w:t>
            </w:r>
          </w:p>
          <w:p w14:paraId="3702394D" w14:textId="77777777" w:rsidR="00F407AD" w:rsidRPr="00605616" w:rsidRDefault="00F407AD" w:rsidP="009B1083">
            <w:pPr>
              <w:spacing w:after="120"/>
              <w:jc w:val="both"/>
              <w:rPr>
                <w:rFonts w:ascii="Arial" w:hAnsi="Arial" w:cs="Arial"/>
                <w:b/>
                <w:sz w:val="22"/>
                <w:szCs w:val="22"/>
              </w:rPr>
            </w:pPr>
          </w:p>
          <w:p w14:paraId="6B5D11FE" w14:textId="77777777" w:rsidR="00F407AD" w:rsidRPr="00605616" w:rsidRDefault="00F407AD" w:rsidP="009B1083">
            <w:pPr>
              <w:spacing w:after="120"/>
              <w:jc w:val="both"/>
              <w:rPr>
                <w:rFonts w:ascii="Arial" w:hAnsi="Arial" w:cs="Arial"/>
                <w:b/>
                <w:sz w:val="22"/>
                <w:szCs w:val="22"/>
              </w:rPr>
            </w:pPr>
            <w:r w:rsidRPr="00605616">
              <w:rPr>
                <w:rFonts w:ascii="Arial" w:hAnsi="Arial" w:cs="Arial"/>
                <w:b/>
                <w:sz w:val="22"/>
                <w:szCs w:val="22"/>
              </w:rPr>
              <w:t>General Objective</w:t>
            </w:r>
          </w:p>
          <w:p w14:paraId="6C882100" w14:textId="77777777" w:rsidR="00276387" w:rsidRDefault="003E06D7" w:rsidP="009B1083">
            <w:pPr>
              <w:spacing w:after="120"/>
              <w:rPr>
                <w:rFonts w:ascii="Arial" w:hAnsi="Arial" w:cs="Arial"/>
                <w:sz w:val="22"/>
                <w:szCs w:val="22"/>
              </w:rPr>
            </w:pPr>
            <w:r w:rsidRPr="00605616">
              <w:rPr>
                <w:rFonts w:ascii="Arial" w:hAnsi="Arial" w:cs="Arial"/>
                <w:sz w:val="22"/>
                <w:szCs w:val="22"/>
              </w:rPr>
              <w:t xml:space="preserve">Over one-third of older New Zealanders are hazardous drinkers, drinking more frequently and in higher quantities than older </w:t>
            </w:r>
            <w:r w:rsidR="009B1083">
              <w:rPr>
                <w:rFonts w:ascii="Arial" w:hAnsi="Arial" w:cs="Arial"/>
                <w:sz w:val="22"/>
                <w:szCs w:val="22"/>
              </w:rPr>
              <w:t>people</w:t>
            </w:r>
            <w:r w:rsidRPr="00605616">
              <w:rPr>
                <w:rFonts w:ascii="Arial" w:hAnsi="Arial" w:cs="Arial"/>
                <w:sz w:val="22"/>
                <w:szCs w:val="22"/>
              </w:rPr>
              <w:t xml:space="preserve"> in many other countries. Hazardous drinking is one of the main risk factors for mortality, morbidity, and injury in older adults. One way to prevent alcohol-related harm in later life is to understand how drinking behaviour develops over the life course and to identify sensitive periods when targeted interventions are more effective. </w:t>
            </w:r>
          </w:p>
          <w:p w14:paraId="3D66F436" w14:textId="77777777" w:rsidR="00276387" w:rsidRDefault="003E06D7" w:rsidP="009B1083">
            <w:pPr>
              <w:spacing w:after="120"/>
              <w:rPr>
                <w:rFonts w:ascii="Arial" w:hAnsi="Arial" w:cs="Arial"/>
                <w:sz w:val="22"/>
                <w:szCs w:val="22"/>
              </w:rPr>
            </w:pPr>
            <w:r w:rsidRPr="00605616">
              <w:rPr>
                <w:rFonts w:ascii="Arial" w:hAnsi="Arial" w:cs="Arial"/>
                <w:sz w:val="22"/>
                <w:szCs w:val="22"/>
              </w:rPr>
              <w:t>Utilizing data from the New Zealand Health Work and Retirement Study Life Course History Interviews, we modelled life course trajectories of alcohol use of adults aged 61 to 81 (n = 749). Participants indicate</w:t>
            </w:r>
            <w:r w:rsidR="000C6C3D" w:rsidRPr="00605616">
              <w:rPr>
                <w:rFonts w:ascii="Arial" w:hAnsi="Arial" w:cs="Arial"/>
                <w:sz w:val="22"/>
                <w:szCs w:val="22"/>
              </w:rPr>
              <w:t>d</w:t>
            </w:r>
            <w:r w:rsidRPr="00605616">
              <w:rPr>
                <w:rFonts w:ascii="Arial" w:hAnsi="Arial" w:cs="Arial"/>
                <w:sz w:val="22"/>
                <w:szCs w:val="22"/>
              </w:rPr>
              <w:t xml:space="preserve"> </w:t>
            </w:r>
            <w:r w:rsidR="000C6C3D" w:rsidRPr="00605616">
              <w:rPr>
                <w:rFonts w:ascii="Arial" w:hAnsi="Arial" w:cs="Arial"/>
                <w:sz w:val="22"/>
                <w:szCs w:val="22"/>
              </w:rPr>
              <w:t xml:space="preserve">average frequency and average quantity of alcohol consumption per occasion </w:t>
            </w:r>
            <w:r w:rsidRPr="00605616">
              <w:rPr>
                <w:rFonts w:ascii="Arial" w:hAnsi="Arial" w:cs="Arial"/>
                <w:sz w:val="22"/>
                <w:szCs w:val="22"/>
              </w:rPr>
              <w:t xml:space="preserve">for each decade of life starting from late teens up to their </w:t>
            </w:r>
            <w:r w:rsidR="00EA44DE">
              <w:rPr>
                <w:rFonts w:ascii="Arial" w:hAnsi="Arial" w:cs="Arial"/>
                <w:sz w:val="22"/>
                <w:szCs w:val="22"/>
              </w:rPr>
              <w:t>7</w:t>
            </w:r>
            <w:r w:rsidRPr="00605616">
              <w:rPr>
                <w:rFonts w:ascii="Arial" w:hAnsi="Arial" w:cs="Arial"/>
                <w:sz w:val="22"/>
                <w:szCs w:val="22"/>
              </w:rPr>
              <w:t xml:space="preserve">0s. </w:t>
            </w:r>
            <w:r w:rsidR="00EA44DE">
              <w:rPr>
                <w:rFonts w:ascii="Arial" w:hAnsi="Arial" w:cs="Arial"/>
                <w:sz w:val="22"/>
                <w:szCs w:val="22"/>
              </w:rPr>
              <w:t>A</w:t>
            </w:r>
            <w:r w:rsidRPr="00605616">
              <w:rPr>
                <w:rFonts w:ascii="Arial" w:hAnsi="Arial" w:cs="Arial"/>
                <w:sz w:val="22"/>
                <w:szCs w:val="22"/>
              </w:rPr>
              <w:t xml:space="preserve">nalyses yielded three </w:t>
            </w:r>
            <w:r w:rsidR="00EA44DE">
              <w:rPr>
                <w:rFonts w:ascii="Arial" w:hAnsi="Arial" w:cs="Arial"/>
                <w:sz w:val="22"/>
                <w:szCs w:val="22"/>
              </w:rPr>
              <w:t xml:space="preserve">life course </w:t>
            </w:r>
            <w:r w:rsidRPr="00605616">
              <w:rPr>
                <w:rFonts w:ascii="Arial" w:hAnsi="Arial" w:cs="Arial"/>
                <w:sz w:val="22"/>
                <w:szCs w:val="22"/>
              </w:rPr>
              <w:t xml:space="preserve">drinking trajectories for men: 1) frequent heavy drinkers </w:t>
            </w:r>
            <w:r w:rsidR="00EA44DE">
              <w:rPr>
                <w:rFonts w:ascii="Arial" w:hAnsi="Arial" w:cs="Arial"/>
                <w:sz w:val="22"/>
                <w:szCs w:val="22"/>
              </w:rPr>
              <w:t>(</w:t>
            </w:r>
            <w:r w:rsidRPr="00605616">
              <w:rPr>
                <w:rFonts w:ascii="Arial" w:hAnsi="Arial" w:cs="Arial"/>
                <w:sz w:val="22"/>
                <w:szCs w:val="22"/>
              </w:rPr>
              <w:t xml:space="preserve">12.8%); 2) frequent low quantity drinkers </w:t>
            </w:r>
            <w:r w:rsidR="00EA44DE">
              <w:rPr>
                <w:rFonts w:ascii="Arial" w:hAnsi="Arial" w:cs="Arial"/>
                <w:sz w:val="22"/>
                <w:szCs w:val="22"/>
              </w:rPr>
              <w:t>(</w:t>
            </w:r>
            <w:r w:rsidRPr="00605616">
              <w:rPr>
                <w:rFonts w:ascii="Arial" w:hAnsi="Arial" w:cs="Arial"/>
                <w:sz w:val="22"/>
                <w:szCs w:val="22"/>
              </w:rPr>
              <w:t xml:space="preserve">51.4%); and 3) infrequent low quantity drinkers (35.8%). Female drinkers were separated into two groups: 1) infrequent low quantity drinkers (47.8%); and 2) frequent low quantity drinkers </w:t>
            </w:r>
            <w:r w:rsidR="00EA44DE">
              <w:rPr>
                <w:rFonts w:ascii="Arial" w:hAnsi="Arial" w:cs="Arial"/>
                <w:sz w:val="22"/>
                <w:szCs w:val="22"/>
              </w:rPr>
              <w:t>(</w:t>
            </w:r>
            <w:r w:rsidRPr="00605616">
              <w:rPr>
                <w:rFonts w:ascii="Arial" w:hAnsi="Arial" w:cs="Arial"/>
                <w:sz w:val="22"/>
                <w:szCs w:val="22"/>
              </w:rPr>
              <w:t xml:space="preserve">52.2%). While alcohol consumption decreased with age for some individuals, it was not the typical pattern for older New Zealanders. More than 50% of older men and women were drinking frequently (i.e., 2-3 times a week) and around 13% of older men drink large quantities (i.e., 3-4 drinks) per occasion. </w:t>
            </w:r>
          </w:p>
          <w:p w14:paraId="31B39528" w14:textId="77777777" w:rsidR="00276387" w:rsidRDefault="003E06D7" w:rsidP="009B1083">
            <w:pPr>
              <w:spacing w:after="120"/>
              <w:rPr>
                <w:rFonts w:ascii="Arial" w:hAnsi="Arial" w:cs="Arial"/>
                <w:sz w:val="22"/>
                <w:szCs w:val="22"/>
              </w:rPr>
            </w:pPr>
            <w:r w:rsidRPr="00605616">
              <w:rPr>
                <w:rFonts w:ascii="Arial" w:hAnsi="Arial" w:cs="Arial"/>
                <w:sz w:val="22"/>
                <w:szCs w:val="22"/>
              </w:rPr>
              <w:t>Next, we linked life course data on alcohol consumption to self-reported data on health collected biannually from 2006 to 2016. Analyses showed that a life course spent with frequent and heavy drinking was more likely to lead to vulnerable health and limitations in mental health in old</w:t>
            </w:r>
            <w:r w:rsidR="004F5860" w:rsidRPr="00605616">
              <w:rPr>
                <w:rFonts w:ascii="Arial" w:hAnsi="Arial" w:cs="Arial"/>
                <w:sz w:val="22"/>
                <w:szCs w:val="22"/>
              </w:rPr>
              <w:t>er age</w:t>
            </w:r>
            <w:r w:rsidR="00EA44DE">
              <w:rPr>
                <w:rFonts w:ascii="Arial" w:hAnsi="Arial" w:cs="Arial"/>
                <w:sz w:val="22"/>
                <w:szCs w:val="22"/>
              </w:rPr>
              <w:t>, e</w:t>
            </w:r>
            <w:r w:rsidRPr="00605616">
              <w:rPr>
                <w:rFonts w:ascii="Arial" w:hAnsi="Arial" w:cs="Arial"/>
                <w:sz w:val="22"/>
                <w:szCs w:val="22"/>
              </w:rPr>
              <w:t xml:space="preserve">ven after controlling for socio-economic wellbeing. </w:t>
            </w:r>
            <w:r w:rsidR="000C6C3D" w:rsidRPr="00605616">
              <w:rPr>
                <w:rFonts w:ascii="Arial" w:hAnsi="Arial" w:cs="Arial"/>
                <w:sz w:val="22"/>
                <w:szCs w:val="22"/>
              </w:rPr>
              <w:t>These findings indicate that alcohol use in later life is the culmination of life course factors</w:t>
            </w:r>
            <w:r w:rsidR="009B1083">
              <w:rPr>
                <w:rFonts w:ascii="Arial" w:hAnsi="Arial" w:cs="Arial"/>
                <w:sz w:val="22"/>
                <w:szCs w:val="22"/>
              </w:rPr>
              <w:t>,</w:t>
            </w:r>
            <w:r w:rsidR="004F5860" w:rsidRPr="00605616">
              <w:rPr>
                <w:rFonts w:ascii="Arial" w:hAnsi="Arial" w:cs="Arial"/>
                <w:sz w:val="22"/>
                <w:szCs w:val="22"/>
              </w:rPr>
              <w:t xml:space="preserve"> which are targets for early intervention</w:t>
            </w:r>
            <w:r w:rsidR="00EA44DE">
              <w:rPr>
                <w:rFonts w:ascii="Arial" w:hAnsi="Arial" w:cs="Arial"/>
                <w:sz w:val="22"/>
                <w:szCs w:val="22"/>
              </w:rPr>
              <w:t xml:space="preserve">. </w:t>
            </w:r>
          </w:p>
          <w:p w14:paraId="516DFBB1" w14:textId="77777777" w:rsidR="003E06D7" w:rsidRPr="00605616" w:rsidRDefault="00EA44DE" w:rsidP="009B1083">
            <w:pPr>
              <w:spacing w:after="120"/>
              <w:rPr>
                <w:rFonts w:ascii="Arial" w:hAnsi="Arial" w:cs="Arial"/>
                <w:sz w:val="22"/>
                <w:szCs w:val="22"/>
              </w:rPr>
            </w:pPr>
            <w:r>
              <w:rPr>
                <w:rFonts w:ascii="Arial" w:hAnsi="Arial" w:cs="Arial"/>
                <w:sz w:val="22"/>
                <w:szCs w:val="22"/>
              </w:rPr>
              <w:t>Drinking behaviour consolidates in early- to mid-life, which highlights the importance of early interventions.</w:t>
            </w:r>
          </w:p>
          <w:p w14:paraId="035D9F2E" w14:textId="77777777" w:rsidR="00F407AD" w:rsidRPr="00605616" w:rsidRDefault="00F407AD" w:rsidP="009B1083">
            <w:pPr>
              <w:spacing w:after="120"/>
              <w:jc w:val="both"/>
              <w:rPr>
                <w:rFonts w:ascii="Arial" w:hAnsi="Arial" w:cs="Arial"/>
                <w:sz w:val="22"/>
                <w:szCs w:val="22"/>
              </w:rPr>
            </w:pPr>
          </w:p>
          <w:p w14:paraId="39B04E13" w14:textId="77777777" w:rsidR="00F407AD" w:rsidRPr="00605616" w:rsidRDefault="00F407AD" w:rsidP="009B1083">
            <w:pPr>
              <w:spacing w:after="120"/>
              <w:jc w:val="both"/>
              <w:rPr>
                <w:rFonts w:ascii="Arial" w:hAnsi="Arial" w:cs="Arial"/>
                <w:b/>
                <w:sz w:val="22"/>
                <w:szCs w:val="22"/>
              </w:rPr>
            </w:pPr>
            <w:r w:rsidRPr="00605616">
              <w:rPr>
                <w:rFonts w:ascii="Arial" w:hAnsi="Arial" w:cs="Arial"/>
                <w:b/>
                <w:sz w:val="22"/>
                <w:szCs w:val="22"/>
              </w:rPr>
              <w:t>Proposed format of the session</w:t>
            </w:r>
          </w:p>
          <w:p w14:paraId="3BB008BE" w14:textId="77777777" w:rsidR="00F407AD" w:rsidRPr="00605616" w:rsidRDefault="00915B76" w:rsidP="009B1083">
            <w:pPr>
              <w:spacing w:after="120"/>
              <w:jc w:val="both"/>
              <w:rPr>
                <w:rFonts w:ascii="Arial" w:hAnsi="Arial" w:cs="Arial"/>
                <w:sz w:val="22"/>
                <w:szCs w:val="22"/>
              </w:rPr>
            </w:pPr>
            <w:r w:rsidRPr="00605616">
              <w:rPr>
                <w:rFonts w:ascii="Arial" w:hAnsi="Arial" w:cs="Arial"/>
                <w:sz w:val="22"/>
                <w:szCs w:val="22"/>
              </w:rPr>
              <w:t>Research presentation</w:t>
            </w:r>
          </w:p>
          <w:p w14:paraId="6B4C32B1" w14:textId="77777777" w:rsidR="00F407AD" w:rsidRPr="00605616" w:rsidRDefault="00F407AD" w:rsidP="009B1083">
            <w:pPr>
              <w:spacing w:after="120"/>
              <w:jc w:val="both"/>
              <w:rPr>
                <w:rFonts w:ascii="Arial" w:hAnsi="Arial" w:cs="Arial"/>
                <w:b/>
                <w:sz w:val="22"/>
                <w:szCs w:val="22"/>
              </w:rPr>
            </w:pPr>
          </w:p>
          <w:p w14:paraId="6541B00D" w14:textId="77777777" w:rsidR="00F407AD" w:rsidRPr="00605616" w:rsidRDefault="00F407AD" w:rsidP="009B1083">
            <w:pPr>
              <w:spacing w:after="120"/>
              <w:jc w:val="both"/>
              <w:rPr>
                <w:rFonts w:ascii="Arial" w:hAnsi="Arial" w:cs="Arial"/>
                <w:b/>
                <w:sz w:val="22"/>
                <w:szCs w:val="22"/>
              </w:rPr>
            </w:pPr>
            <w:r w:rsidRPr="00605616">
              <w:rPr>
                <w:rFonts w:ascii="Arial" w:hAnsi="Arial" w:cs="Arial"/>
                <w:b/>
                <w:sz w:val="22"/>
                <w:szCs w:val="22"/>
              </w:rPr>
              <w:t>Conference theme and/or subthemes addressed</w:t>
            </w:r>
          </w:p>
          <w:p w14:paraId="240BD763" w14:textId="77777777" w:rsidR="00F407AD" w:rsidRPr="00605616" w:rsidRDefault="009B1083" w:rsidP="009B1083">
            <w:pPr>
              <w:spacing w:after="120"/>
              <w:jc w:val="both"/>
              <w:rPr>
                <w:rFonts w:ascii="Arial" w:hAnsi="Arial" w:cs="Arial"/>
                <w:bCs/>
                <w:sz w:val="22"/>
                <w:szCs w:val="22"/>
              </w:rPr>
            </w:pPr>
            <w:r w:rsidRPr="00605616">
              <w:rPr>
                <w:rFonts w:ascii="Arial" w:hAnsi="Arial" w:cs="Arial"/>
                <w:sz w:val="22"/>
                <w:szCs w:val="22"/>
              </w:rPr>
              <w:t xml:space="preserve">Health equity - Ensure health equity throughout the life course. </w:t>
            </w:r>
          </w:p>
        </w:tc>
      </w:tr>
    </w:tbl>
    <w:p w14:paraId="0329FECC" w14:textId="77777777" w:rsidR="00F407AD" w:rsidRPr="00605616" w:rsidRDefault="00F407AD" w:rsidP="004C45A1">
      <w:pPr>
        <w:rPr>
          <w:rFonts w:ascii="Arial" w:hAnsi="Arial" w:cs="Arial"/>
          <w:sz w:val="22"/>
          <w:szCs w:val="22"/>
        </w:rPr>
      </w:pPr>
    </w:p>
    <w:p w14:paraId="7D209313" w14:textId="77777777" w:rsidR="00F407AD" w:rsidRPr="00605616" w:rsidRDefault="00F407AD">
      <w:pPr>
        <w:rPr>
          <w:rFonts w:ascii="Arial" w:hAnsi="Arial" w:cs="Arial"/>
          <w:sz w:val="22"/>
          <w:szCs w:val="22"/>
        </w:rPr>
      </w:pPr>
      <w:r w:rsidRPr="00605616">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05616" w14:paraId="41DB57CB" w14:textId="77777777" w:rsidTr="00BE682F">
        <w:tc>
          <w:tcPr>
            <w:tcW w:w="8640" w:type="dxa"/>
          </w:tcPr>
          <w:p w14:paraId="65B73E3B" w14:textId="77777777" w:rsidR="00F407AD" w:rsidRPr="00605616" w:rsidRDefault="00F407AD" w:rsidP="00610012">
            <w:pPr>
              <w:jc w:val="both"/>
              <w:rPr>
                <w:rFonts w:ascii="Arial" w:hAnsi="Arial" w:cs="Arial"/>
                <w:sz w:val="22"/>
                <w:szCs w:val="22"/>
              </w:rPr>
            </w:pPr>
            <w:r w:rsidRPr="00605616">
              <w:rPr>
                <w:rFonts w:ascii="Arial" w:hAnsi="Arial" w:cs="Arial"/>
                <w:b/>
                <w:sz w:val="22"/>
                <w:szCs w:val="22"/>
              </w:rPr>
              <w:lastRenderedPageBreak/>
              <w:t xml:space="preserve">Title of Presentation 3 </w:t>
            </w:r>
            <w:r w:rsidR="003E06D7" w:rsidRPr="00605616">
              <w:rPr>
                <w:rFonts w:ascii="Arial" w:hAnsi="Arial" w:cs="Arial"/>
                <w:sz w:val="22"/>
                <w:szCs w:val="22"/>
              </w:rPr>
              <w:t>The importance of housing to health: A Capabilities Approach to unequal trajectories of healthy ageing</w:t>
            </w:r>
          </w:p>
        </w:tc>
      </w:tr>
      <w:tr w:rsidR="00F407AD" w:rsidRPr="00605616" w14:paraId="0A8D12B0" w14:textId="77777777" w:rsidTr="00BE682F">
        <w:trPr>
          <w:trHeight w:val="7663"/>
        </w:trPr>
        <w:tc>
          <w:tcPr>
            <w:tcW w:w="8640" w:type="dxa"/>
          </w:tcPr>
          <w:p w14:paraId="16C3D1FA" w14:textId="77777777" w:rsidR="00A52941" w:rsidRPr="00605616" w:rsidRDefault="00A52941" w:rsidP="00276387">
            <w:pPr>
              <w:spacing w:after="120"/>
              <w:jc w:val="both"/>
              <w:rPr>
                <w:rFonts w:ascii="Arial" w:hAnsi="Arial" w:cs="Arial"/>
                <w:b/>
                <w:sz w:val="22"/>
                <w:szCs w:val="22"/>
              </w:rPr>
            </w:pPr>
            <w:r w:rsidRPr="00605616">
              <w:rPr>
                <w:rFonts w:ascii="Arial" w:hAnsi="Arial" w:cs="Arial"/>
                <w:b/>
                <w:sz w:val="22"/>
                <w:szCs w:val="22"/>
              </w:rPr>
              <w:t>Maximum 2500 characters (including spaces but excluding title)</w:t>
            </w:r>
          </w:p>
          <w:p w14:paraId="715B2561" w14:textId="77777777" w:rsidR="00F407AD" w:rsidRPr="00605616" w:rsidRDefault="00F407AD" w:rsidP="00276387">
            <w:pPr>
              <w:spacing w:after="120"/>
              <w:jc w:val="both"/>
              <w:rPr>
                <w:rFonts w:ascii="Arial" w:hAnsi="Arial" w:cs="Arial"/>
                <w:b/>
                <w:sz w:val="22"/>
                <w:szCs w:val="22"/>
              </w:rPr>
            </w:pPr>
          </w:p>
          <w:p w14:paraId="50B5F7F8" w14:textId="77777777" w:rsidR="00F407AD" w:rsidRPr="00605616" w:rsidRDefault="00F407AD" w:rsidP="00276387">
            <w:pPr>
              <w:spacing w:after="120"/>
              <w:jc w:val="both"/>
              <w:rPr>
                <w:rFonts w:ascii="Arial" w:hAnsi="Arial" w:cs="Arial"/>
                <w:b/>
                <w:sz w:val="22"/>
                <w:szCs w:val="22"/>
              </w:rPr>
            </w:pPr>
            <w:r w:rsidRPr="00605616">
              <w:rPr>
                <w:rFonts w:ascii="Arial" w:hAnsi="Arial" w:cs="Arial"/>
                <w:b/>
                <w:sz w:val="22"/>
                <w:szCs w:val="22"/>
              </w:rPr>
              <w:t>General Objective</w:t>
            </w:r>
          </w:p>
          <w:p w14:paraId="6FF6B723" w14:textId="77777777" w:rsidR="003E06D7" w:rsidRPr="00605616" w:rsidRDefault="003E06D7" w:rsidP="00276387">
            <w:pPr>
              <w:spacing w:after="120"/>
              <w:jc w:val="both"/>
              <w:rPr>
                <w:rFonts w:ascii="Arial" w:hAnsi="Arial" w:cs="Arial"/>
                <w:sz w:val="22"/>
                <w:szCs w:val="22"/>
              </w:rPr>
            </w:pPr>
            <w:r w:rsidRPr="00605616">
              <w:rPr>
                <w:rFonts w:ascii="Arial" w:hAnsi="Arial" w:cs="Arial"/>
                <w:sz w:val="22"/>
                <w:szCs w:val="22"/>
              </w:rPr>
              <w:t>Sen’s Capabilit</w:t>
            </w:r>
            <w:r w:rsidR="009B03A8" w:rsidRPr="00605616">
              <w:rPr>
                <w:rFonts w:ascii="Arial" w:hAnsi="Arial" w:cs="Arial"/>
                <w:sz w:val="22"/>
                <w:szCs w:val="22"/>
              </w:rPr>
              <w:t>y</w:t>
            </w:r>
            <w:r w:rsidRPr="00605616">
              <w:rPr>
                <w:rFonts w:ascii="Arial" w:hAnsi="Arial" w:cs="Arial"/>
                <w:sz w:val="22"/>
                <w:szCs w:val="22"/>
              </w:rPr>
              <w:t xml:space="preserve"> Approach provides a framework that focuses on the role of the environment (rather than individual responsibility) to promote </w:t>
            </w:r>
            <w:r w:rsidR="00893EAB">
              <w:rPr>
                <w:rFonts w:ascii="Arial" w:hAnsi="Arial" w:cs="Arial"/>
                <w:sz w:val="22"/>
                <w:szCs w:val="22"/>
              </w:rPr>
              <w:t xml:space="preserve">health among all older people. </w:t>
            </w:r>
            <w:r w:rsidRPr="00605616">
              <w:rPr>
                <w:rFonts w:ascii="Arial" w:hAnsi="Arial" w:cs="Arial"/>
                <w:sz w:val="22"/>
                <w:szCs w:val="22"/>
              </w:rPr>
              <w:t>In this paper, we describe the use of Sen’s approach in the new WHO strategy for healthy ageing, a</w:t>
            </w:r>
            <w:r w:rsidR="009B03A8" w:rsidRPr="00605616">
              <w:rPr>
                <w:rFonts w:ascii="Arial" w:hAnsi="Arial" w:cs="Arial"/>
                <w:sz w:val="22"/>
                <w:szCs w:val="22"/>
              </w:rPr>
              <w:t>longside</w:t>
            </w:r>
            <w:r w:rsidRPr="00605616">
              <w:rPr>
                <w:rFonts w:ascii="Arial" w:hAnsi="Arial" w:cs="Arial"/>
                <w:sz w:val="22"/>
                <w:szCs w:val="22"/>
              </w:rPr>
              <w:t xml:space="preserve"> the results of an empirical study to demonstrate the relationships of the environment with physi</w:t>
            </w:r>
            <w:r w:rsidR="00893EAB">
              <w:rPr>
                <w:rFonts w:ascii="Arial" w:hAnsi="Arial" w:cs="Arial"/>
                <w:sz w:val="22"/>
                <w:szCs w:val="22"/>
              </w:rPr>
              <w:t>cal, social and mental health.</w:t>
            </w:r>
          </w:p>
          <w:p w14:paraId="66DCB5F2" w14:textId="77777777" w:rsidR="003E06D7" w:rsidRPr="00605616" w:rsidRDefault="003E06D7" w:rsidP="00276387">
            <w:pPr>
              <w:spacing w:after="120"/>
              <w:jc w:val="both"/>
              <w:rPr>
                <w:rFonts w:ascii="Arial" w:hAnsi="Arial" w:cs="Arial"/>
                <w:sz w:val="22"/>
                <w:szCs w:val="22"/>
              </w:rPr>
            </w:pPr>
            <w:r w:rsidRPr="00605616">
              <w:rPr>
                <w:rFonts w:ascii="Arial" w:hAnsi="Arial" w:cs="Arial"/>
                <w:sz w:val="22"/>
                <w:szCs w:val="22"/>
              </w:rPr>
              <w:t xml:space="preserve">From a capabilities perspective we predicted that quality of housing and neighbourhoods would be related to physical, mental and social health trajectories over time. We analysed longitudinal data from 2483 New Zealanders (55-70 years of age in 2006) surveyed biennially for ten years. </w:t>
            </w:r>
          </w:p>
          <w:p w14:paraId="3C3CE50C" w14:textId="77777777" w:rsidR="003E06D7" w:rsidRPr="00605616" w:rsidRDefault="003E06D7" w:rsidP="00276387">
            <w:pPr>
              <w:spacing w:after="120"/>
              <w:jc w:val="both"/>
              <w:rPr>
                <w:rFonts w:ascii="Arial" w:hAnsi="Arial" w:cs="Arial"/>
                <w:sz w:val="22"/>
                <w:szCs w:val="22"/>
              </w:rPr>
            </w:pPr>
            <w:r w:rsidRPr="00605616">
              <w:rPr>
                <w:rFonts w:ascii="Arial" w:hAnsi="Arial" w:cs="Arial"/>
                <w:sz w:val="22"/>
                <w:szCs w:val="22"/>
              </w:rPr>
              <w:t>Analysis showed five different longitudinal profiles</w:t>
            </w:r>
            <w:r w:rsidR="009B03A8" w:rsidRPr="00605616">
              <w:rPr>
                <w:rFonts w:ascii="Arial" w:hAnsi="Arial" w:cs="Arial"/>
                <w:sz w:val="22"/>
                <w:szCs w:val="22"/>
              </w:rPr>
              <w:t xml:space="preserve"> of wellbeing among older people</w:t>
            </w:r>
            <w:r w:rsidRPr="00605616">
              <w:rPr>
                <w:rFonts w:ascii="Arial" w:hAnsi="Arial" w:cs="Arial"/>
                <w:sz w:val="22"/>
                <w:szCs w:val="22"/>
              </w:rPr>
              <w:t>: those with robust health; average good health; declining physical health; limitations in mental health and social wellbeing or vulnerable health. Health profile membership was significantly related to standard of living, satisfaction with housing, quality of neighbourhood, and social cohesi</w:t>
            </w:r>
            <w:r w:rsidR="00893EAB">
              <w:rPr>
                <w:rFonts w:ascii="Arial" w:hAnsi="Arial" w:cs="Arial"/>
                <w:sz w:val="22"/>
                <w:szCs w:val="22"/>
              </w:rPr>
              <w:t>on of neighbourhood (in 2016).</w:t>
            </w:r>
          </w:p>
          <w:p w14:paraId="072BD8ED" w14:textId="77777777" w:rsidR="00F407AD" w:rsidRPr="00605616" w:rsidRDefault="003E06D7" w:rsidP="00276387">
            <w:pPr>
              <w:spacing w:after="120"/>
              <w:jc w:val="both"/>
              <w:rPr>
                <w:rFonts w:ascii="Arial" w:hAnsi="Arial" w:cs="Arial"/>
                <w:sz w:val="22"/>
                <w:szCs w:val="22"/>
              </w:rPr>
            </w:pPr>
            <w:r w:rsidRPr="00605616">
              <w:rPr>
                <w:rFonts w:ascii="Arial" w:hAnsi="Arial" w:cs="Arial"/>
                <w:sz w:val="22"/>
                <w:szCs w:val="22"/>
              </w:rPr>
              <w:t xml:space="preserve">The findings support our argument that inequalities in health may be more usefully explained by inequalities in capabilities, rather than by individual abilities or choices.  Policies to offset such inequalities would focus on social and physical environmental support for individuals’ abilities to meet their valued practical, social and participatory needs. These findings support </w:t>
            </w:r>
            <w:r w:rsidR="00593817" w:rsidRPr="00605616">
              <w:rPr>
                <w:rFonts w:ascii="Arial" w:hAnsi="Arial" w:cs="Arial"/>
                <w:sz w:val="22"/>
                <w:szCs w:val="22"/>
              </w:rPr>
              <w:t>growing evidence that the environment is a key factor in the health of older people. F</w:t>
            </w:r>
            <w:r w:rsidRPr="00605616">
              <w:rPr>
                <w:rFonts w:ascii="Arial" w:hAnsi="Arial" w:cs="Arial"/>
                <w:sz w:val="22"/>
                <w:szCs w:val="22"/>
              </w:rPr>
              <w:t>urther in depth qualitative and participatory research is planned to highlight the valued aspects of the environment that promote healthy ageing.</w:t>
            </w:r>
          </w:p>
          <w:p w14:paraId="382DAE3A" w14:textId="77777777" w:rsidR="00F407AD" w:rsidRPr="00605616" w:rsidRDefault="00F407AD" w:rsidP="00276387">
            <w:pPr>
              <w:spacing w:after="120"/>
              <w:jc w:val="both"/>
              <w:rPr>
                <w:rFonts w:ascii="Arial" w:hAnsi="Arial" w:cs="Arial"/>
                <w:sz w:val="22"/>
                <w:szCs w:val="22"/>
              </w:rPr>
            </w:pPr>
          </w:p>
          <w:p w14:paraId="4B81AE67" w14:textId="77777777" w:rsidR="00F407AD" w:rsidRPr="00605616" w:rsidRDefault="00F407AD" w:rsidP="00276387">
            <w:pPr>
              <w:spacing w:after="120"/>
              <w:jc w:val="both"/>
              <w:rPr>
                <w:rFonts w:ascii="Arial" w:hAnsi="Arial" w:cs="Arial"/>
                <w:b/>
                <w:sz w:val="22"/>
                <w:szCs w:val="22"/>
              </w:rPr>
            </w:pPr>
            <w:r w:rsidRPr="00605616">
              <w:rPr>
                <w:rFonts w:ascii="Arial" w:hAnsi="Arial" w:cs="Arial"/>
                <w:b/>
                <w:sz w:val="22"/>
                <w:szCs w:val="22"/>
              </w:rPr>
              <w:t>Proposed format of the session</w:t>
            </w:r>
          </w:p>
          <w:p w14:paraId="490C7C42" w14:textId="77777777" w:rsidR="00F407AD" w:rsidRPr="00605616" w:rsidRDefault="00276387" w:rsidP="00276387">
            <w:pPr>
              <w:spacing w:after="120"/>
              <w:jc w:val="both"/>
              <w:rPr>
                <w:rFonts w:ascii="Arial" w:hAnsi="Arial" w:cs="Arial"/>
                <w:sz w:val="22"/>
                <w:szCs w:val="22"/>
              </w:rPr>
            </w:pPr>
            <w:r>
              <w:rPr>
                <w:rFonts w:ascii="Arial" w:hAnsi="Arial" w:cs="Arial"/>
                <w:sz w:val="22"/>
                <w:szCs w:val="22"/>
              </w:rPr>
              <w:t>Research presentation</w:t>
            </w:r>
          </w:p>
          <w:p w14:paraId="7F07DDD1" w14:textId="77777777" w:rsidR="00F407AD" w:rsidRPr="00605616" w:rsidRDefault="00F407AD" w:rsidP="00276387">
            <w:pPr>
              <w:spacing w:after="120"/>
              <w:jc w:val="both"/>
              <w:rPr>
                <w:rFonts w:ascii="Arial" w:hAnsi="Arial" w:cs="Arial"/>
                <w:b/>
                <w:sz w:val="22"/>
                <w:szCs w:val="22"/>
              </w:rPr>
            </w:pPr>
          </w:p>
          <w:p w14:paraId="6BD5A611" w14:textId="77777777" w:rsidR="00F407AD" w:rsidRPr="00605616" w:rsidRDefault="00F407AD" w:rsidP="00276387">
            <w:pPr>
              <w:spacing w:after="120"/>
              <w:jc w:val="both"/>
              <w:rPr>
                <w:rFonts w:ascii="Arial" w:hAnsi="Arial" w:cs="Arial"/>
                <w:b/>
                <w:sz w:val="22"/>
                <w:szCs w:val="22"/>
              </w:rPr>
            </w:pPr>
            <w:r w:rsidRPr="00605616">
              <w:rPr>
                <w:rFonts w:ascii="Arial" w:hAnsi="Arial" w:cs="Arial"/>
                <w:b/>
                <w:sz w:val="22"/>
                <w:szCs w:val="22"/>
              </w:rPr>
              <w:t>Conference theme and/or subthemes addressed</w:t>
            </w:r>
          </w:p>
          <w:p w14:paraId="7E50BFDA" w14:textId="77777777" w:rsidR="00F407AD" w:rsidRPr="00605616" w:rsidRDefault="00276387" w:rsidP="00276387">
            <w:pPr>
              <w:spacing w:after="120"/>
              <w:jc w:val="both"/>
              <w:rPr>
                <w:rFonts w:ascii="Arial" w:hAnsi="Arial" w:cs="Arial"/>
                <w:b/>
                <w:sz w:val="22"/>
                <w:szCs w:val="22"/>
              </w:rPr>
            </w:pPr>
            <w:r w:rsidRPr="00605616">
              <w:rPr>
                <w:rFonts w:ascii="Arial" w:hAnsi="Arial" w:cs="Arial"/>
                <w:sz w:val="22"/>
                <w:szCs w:val="22"/>
              </w:rPr>
              <w:t>Health equity - Ensure health equity throughout the life course.</w:t>
            </w:r>
          </w:p>
          <w:p w14:paraId="7ADCFAC3" w14:textId="77777777" w:rsidR="00F407AD" w:rsidRPr="00605616" w:rsidRDefault="00F407AD" w:rsidP="00BE682F">
            <w:pPr>
              <w:jc w:val="both"/>
              <w:rPr>
                <w:rFonts w:ascii="Arial" w:hAnsi="Arial" w:cs="Arial"/>
                <w:bCs/>
                <w:sz w:val="22"/>
                <w:szCs w:val="22"/>
              </w:rPr>
            </w:pPr>
          </w:p>
        </w:tc>
      </w:tr>
    </w:tbl>
    <w:p w14:paraId="6112A98D" w14:textId="77777777" w:rsidR="00F407AD" w:rsidRPr="00605616" w:rsidRDefault="00F407AD" w:rsidP="004C45A1">
      <w:pPr>
        <w:rPr>
          <w:rFonts w:ascii="Arial" w:hAnsi="Arial" w:cs="Arial"/>
          <w:sz w:val="22"/>
          <w:szCs w:val="22"/>
        </w:rPr>
      </w:pPr>
    </w:p>
    <w:p w14:paraId="23FF683B" w14:textId="77777777" w:rsidR="00F407AD" w:rsidRPr="00605616" w:rsidRDefault="00F407AD">
      <w:pPr>
        <w:rPr>
          <w:rFonts w:ascii="Arial" w:hAnsi="Arial" w:cs="Arial"/>
          <w:sz w:val="22"/>
          <w:szCs w:val="22"/>
        </w:rPr>
      </w:pPr>
      <w:r w:rsidRPr="00605616">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05616" w14:paraId="132DDF86" w14:textId="77777777" w:rsidTr="00BE682F">
        <w:tc>
          <w:tcPr>
            <w:tcW w:w="8640" w:type="dxa"/>
          </w:tcPr>
          <w:p w14:paraId="184E6964" w14:textId="77777777" w:rsidR="00F407AD" w:rsidRPr="00605616" w:rsidRDefault="00F407AD" w:rsidP="001B6B1C">
            <w:pPr>
              <w:jc w:val="both"/>
              <w:rPr>
                <w:rFonts w:ascii="Arial" w:hAnsi="Arial" w:cs="Arial"/>
                <w:sz w:val="22"/>
                <w:szCs w:val="22"/>
              </w:rPr>
            </w:pPr>
            <w:r w:rsidRPr="00605616">
              <w:rPr>
                <w:rFonts w:ascii="Arial" w:hAnsi="Arial" w:cs="Arial"/>
                <w:b/>
                <w:sz w:val="22"/>
                <w:szCs w:val="22"/>
              </w:rPr>
              <w:lastRenderedPageBreak/>
              <w:t xml:space="preserve">Title of Presentation 4 </w:t>
            </w:r>
            <w:r w:rsidR="00975303" w:rsidRPr="00605616">
              <w:rPr>
                <w:rFonts w:ascii="Arial" w:hAnsi="Arial" w:cs="Arial"/>
                <w:sz w:val="22"/>
                <w:szCs w:val="22"/>
              </w:rPr>
              <w:t xml:space="preserve">Advocating for </w:t>
            </w:r>
            <w:r w:rsidR="00D51389" w:rsidRPr="00605616">
              <w:rPr>
                <w:rFonts w:ascii="Arial" w:hAnsi="Arial" w:cs="Arial"/>
                <w:sz w:val="22"/>
                <w:szCs w:val="22"/>
              </w:rPr>
              <w:t>h</w:t>
            </w:r>
            <w:r w:rsidR="00975303" w:rsidRPr="00605616">
              <w:rPr>
                <w:rFonts w:ascii="Arial" w:hAnsi="Arial" w:cs="Arial"/>
                <w:sz w:val="22"/>
                <w:szCs w:val="22"/>
              </w:rPr>
              <w:t xml:space="preserve">ealth </w:t>
            </w:r>
            <w:r w:rsidR="00D51389" w:rsidRPr="00605616">
              <w:rPr>
                <w:rFonts w:ascii="Arial" w:hAnsi="Arial" w:cs="Arial"/>
                <w:sz w:val="22"/>
                <w:szCs w:val="22"/>
              </w:rPr>
              <w:t>e</w:t>
            </w:r>
            <w:r w:rsidR="00975303" w:rsidRPr="00605616">
              <w:rPr>
                <w:rFonts w:ascii="Arial" w:hAnsi="Arial" w:cs="Arial"/>
                <w:sz w:val="22"/>
                <w:szCs w:val="22"/>
              </w:rPr>
              <w:t>quity</w:t>
            </w:r>
          </w:p>
        </w:tc>
      </w:tr>
      <w:tr w:rsidR="00F407AD" w:rsidRPr="00605616" w14:paraId="105A9498" w14:textId="77777777" w:rsidTr="00BE682F">
        <w:trPr>
          <w:trHeight w:val="7663"/>
        </w:trPr>
        <w:tc>
          <w:tcPr>
            <w:tcW w:w="8640" w:type="dxa"/>
          </w:tcPr>
          <w:p w14:paraId="61E4C203" w14:textId="77777777" w:rsidR="00A52941" w:rsidRPr="00605616" w:rsidRDefault="00A52941" w:rsidP="00A52941">
            <w:pPr>
              <w:jc w:val="both"/>
              <w:rPr>
                <w:rFonts w:ascii="Arial" w:hAnsi="Arial" w:cs="Arial"/>
                <w:b/>
                <w:sz w:val="22"/>
                <w:szCs w:val="22"/>
              </w:rPr>
            </w:pPr>
            <w:r w:rsidRPr="00605616">
              <w:rPr>
                <w:rFonts w:ascii="Arial" w:hAnsi="Arial" w:cs="Arial"/>
                <w:b/>
                <w:sz w:val="22"/>
                <w:szCs w:val="22"/>
              </w:rPr>
              <w:t>Maximum 2500 characters (including spaces but excluding title)</w:t>
            </w:r>
          </w:p>
          <w:p w14:paraId="1FF3DEFC" w14:textId="77777777" w:rsidR="00F407AD" w:rsidRPr="00605616" w:rsidRDefault="00F407AD" w:rsidP="005C26CD">
            <w:pPr>
              <w:spacing w:after="120"/>
              <w:jc w:val="both"/>
              <w:rPr>
                <w:rFonts w:ascii="Arial" w:hAnsi="Arial" w:cs="Arial"/>
                <w:b/>
                <w:sz w:val="22"/>
                <w:szCs w:val="22"/>
              </w:rPr>
            </w:pPr>
          </w:p>
          <w:p w14:paraId="69BE209E" w14:textId="77777777" w:rsidR="00F407AD" w:rsidRPr="00605616" w:rsidRDefault="00F407AD" w:rsidP="005C26CD">
            <w:pPr>
              <w:spacing w:after="120"/>
              <w:jc w:val="both"/>
              <w:rPr>
                <w:rFonts w:ascii="Arial" w:hAnsi="Arial" w:cs="Arial"/>
                <w:b/>
                <w:sz w:val="22"/>
                <w:szCs w:val="22"/>
              </w:rPr>
            </w:pPr>
            <w:r w:rsidRPr="00605616">
              <w:rPr>
                <w:rFonts w:ascii="Arial" w:hAnsi="Arial" w:cs="Arial"/>
                <w:b/>
                <w:sz w:val="22"/>
                <w:szCs w:val="22"/>
              </w:rPr>
              <w:t>General Objective</w:t>
            </w:r>
          </w:p>
          <w:p w14:paraId="3DF63AA5" w14:textId="77777777" w:rsidR="007A690D" w:rsidRPr="00605616" w:rsidRDefault="006A7003" w:rsidP="005C26CD">
            <w:pPr>
              <w:spacing w:after="120"/>
              <w:jc w:val="both"/>
              <w:rPr>
                <w:rFonts w:ascii="Arial" w:hAnsi="Arial" w:cs="Arial"/>
                <w:sz w:val="22"/>
                <w:szCs w:val="22"/>
              </w:rPr>
            </w:pPr>
            <w:r w:rsidRPr="00605616">
              <w:rPr>
                <w:rFonts w:ascii="Arial" w:hAnsi="Arial" w:cs="Arial"/>
                <w:sz w:val="22"/>
                <w:szCs w:val="22"/>
              </w:rPr>
              <w:t>Research</w:t>
            </w:r>
            <w:r w:rsidR="007A690D" w:rsidRPr="00605616">
              <w:rPr>
                <w:rFonts w:ascii="Arial" w:hAnsi="Arial" w:cs="Arial"/>
                <w:sz w:val="22"/>
                <w:szCs w:val="22"/>
              </w:rPr>
              <w:t xml:space="preserve"> findings such as those discussed in this symposium have </w:t>
            </w:r>
            <w:r w:rsidR="004F5860" w:rsidRPr="00605616">
              <w:rPr>
                <w:rFonts w:ascii="Arial" w:hAnsi="Arial" w:cs="Arial"/>
                <w:sz w:val="22"/>
                <w:szCs w:val="22"/>
              </w:rPr>
              <w:t>important</w:t>
            </w:r>
            <w:r w:rsidR="007A690D" w:rsidRPr="00605616">
              <w:rPr>
                <w:rFonts w:ascii="Arial" w:hAnsi="Arial" w:cs="Arial"/>
                <w:sz w:val="22"/>
                <w:szCs w:val="22"/>
              </w:rPr>
              <w:t xml:space="preserve"> implications for public health and health promotion for older people. In particular, current approaches, which focus on individual education campaigns for behaviour change in later life, neglect the </w:t>
            </w:r>
            <w:r w:rsidR="004F5860" w:rsidRPr="00605616">
              <w:rPr>
                <w:rFonts w:ascii="Arial" w:hAnsi="Arial" w:cs="Arial"/>
                <w:sz w:val="22"/>
                <w:szCs w:val="22"/>
              </w:rPr>
              <w:t>environmental</w:t>
            </w:r>
            <w:r w:rsidR="007A690D" w:rsidRPr="00605616">
              <w:rPr>
                <w:rFonts w:ascii="Arial" w:hAnsi="Arial" w:cs="Arial"/>
                <w:sz w:val="22"/>
                <w:szCs w:val="22"/>
              </w:rPr>
              <w:t xml:space="preserve"> </w:t>
            </w:r>
            <w:r w:rsidR="004F5860" w:rsidRPr="00605616">
              <w:rPr>
                <w:rFonts w:ascii="Arial" w:hAnsi="Arial" w:cs="Arial"/>
                <w:sz w:val="22"/>
                <w:szCs w:val="22"/>
              </w:rPr>
              <w:t xml:space="preserve">and behavioural </w:t>
            </w:r>
            <w:r w:rsidR="007A690D" w:rsidRPr="00605616">
              <w:rPr>
                <w:rFonts w:ascii="Arial" w:hAnsi="Arial" w:cs="Arial"/>
                <w:sz w:val="22"/>
                <w:szCs w:val="22"/>
              </w:rPr>
              <w:t xml:space="preserve">effects </w:t>
            </w:r>
            <w:r w:rsidR="004F5860" w:rsidRPr="00605616">
              <w:rPr>
                <w:rFonts w:ascii="Arial" w:hAnsi="Arial" w:cs="Arial"/>
                <w:sz w:val="22"/>
                <w:szCs w:val="22"/>
              </w:rPr>
              <w:t xml:space="preserve">across the life course </w:t>
            </w:r>
            <w:r w:rsidR="007A690D" w:rsidRPr="00605616">
              <w:rPr>
                <w:rFonts w:ascii="Arial" w:hAnsi="Arial" w:cs="Arial"/>
                <w:sz w:val="22"/>
                <w:szCs w:val="22"/>
              </w:rPr>
              <w:t xml:space="preserve">on health and wellbeing for older people. </w:t>
            </w:r>
          </w:p>
          <w:p w14:paraId="2A349F57" w14:textId="77777777" w:rsidR="00F407AD" w:rsidRPr="00605616" w:rsidRDefault="001B6B1C" w:rsidP="005C26CD">
            <w:pPr>
              <w:spacing w:after="120"/>
              <w:jc w:val="both"/>
              <w:rPr>
                <w:rFonts w:ascii="Arial" w:hAnsi="Arial" w:cs="Arial"/>
                <w:sz w:val="22"/>
                <w:szCs w:val="22"/>
              </w:rPr>
            </w:pPr>
            <w:r>
              <w:rPr>
                <w:rFonts w:ascii="Arial" w:hAnsi="Arial" w:cs="Arial"/>
                <w:sz w:val="22"/>
                <w:szCs w:val="22"/>
              </w:rPr>
              <w:t>The presenter</w:t>
            </w:r>
            <w:r w:rsidR="00975303" w:rsidRPr="00605616">
              <w:rPr>
                <w:rFonts w:ascii="Arial" w:hAnsi="Arial" w:cs="Arial"/>
                <w:sz w:val="22"/>
                <w:szCs w:val="22"/>
              </w:rPr>
              <w:t xml:space="preserve"> will prov</w:t>
            </w:r>
            <w:r w:rsidR="00610012" w:rsidRPr="00605616">
              <w:rPr>
                <w:rFonts w:ascii="Arial" w:hAnsi="Arial" w:cs="Arial"/>
                <w:sz w:val="22"/>
                <w:szCs w:val="22"/>
              </w:rPr>
              <w:t xml:space="preserve">ide an advocacy perspective on health equity. </w:t>
            </w:r>
            <w:r>
              <w:rPr>
                <w:rFonts w:ascii="Arial" w:hAnsi="Arial" w:cs="Arial"/>
                <w:sz w:val="22"/>
                <w:szCs w:val="22"/>
              </w:rPr>
              <w:t>They</w:t>
            </w:r>
            <w:r w:rsidR="00610012" w:rsidRPr="00605616">
              <w:rPr>
                <w:rFonts w:ascii="Arial" w:hAnsi="Arial" w:cs="Arial"/>
                <w:sz w:val="22"/>
                <w:szCs w:val="22"/>
              </w:rPr>
              <w:t xml:space="preserve"> will moderate discussion of how research evidence can be used to advocate for a more equitable distribution </w:t>
            </w:r>
            <w:r w:rsidR="00F47924" w:rsidRPr="00605616">
              <w:rPr>
                <w:rFonts w:ascii="Arial" w:hAnsi="Arial" w:cs="Arial"/>
                <w:sz w:val="22"/>
                <w:szCs w:val="22"/>
              </w:rPr>
              <w:t xml:space="preserve">of health and wellbeing </w:t>
            </w:r>
            <w:r w:rsidR="00610012" w:rsidRPr="00605616">
              <w:rPr>
                <w:rFonts w:ascii="Arial" w:hAnsi="Arial" w:cs="Arial"/>
                <w:sz w:val="22"/>
                <w:szCs w:val="22"/>
              </w:rPr>
              <w:t>over the life</w:t>
            </w:r>
            <w:r w:rsidR="00F47924" w:rsidRPr="00605616">
              <w:rPr>
                <w:rFonts w:ascii="Arial" w:hAnsi="Arial" w:cs="Arial"/>
                <w:sz w:val="22"/>
                <w:szCs w:val="22"/>
              </w:rPr>
              <w:t xml:space="preserve"> </w:t>
            </w:r>
            <w:r w:rsidR="00610012" w:rsidRPr="00605616">
              <w:rPr>
                <w:rFonts w:ascii="Arial" w:hAnsi="Arial" w:cs="Arial"/>
                <w:sz w:val="22"/>
                <w:szCs w:val="22"/>
              </w:rPr>
              <w:t>course</w:t>
            </w:r>
            <w:r w:rsidR="00F47924" w:rsidRPr="00605616">
              <w:rPr>
                <w:rFonts w:ascii="Arial" w:hAnsi="Arial" w:cs="Arial"/>
                <w:sz w:val="22"/>
                <w:szCs w:val="22"/>
              </w:rPr>
              <w:t>. The discussion will focus on the implications of this research programme for policy and practice. We will discuss how policy solutions can</w:t>
            </w:r>
            <w:r w:rsidR="00610012" w:rsidRPr="00605616">
              <w:rPr>
                <w:rFonts w:ascii="Arial" w:hAnsi="Arial" w:cs="Arial"/>
                <w:sz w:val="22"/>
                <w:szCs w:val="22"/>
              </w:rPr>
              <w:t xml:space="preserve"> take a broader perspective </w:t>
            </w:r>
            <w:r w:rsidR="00F47924" w:rsidRPr="00605616">
              <w:rPr>
                <w:rFonts w:ascii="Arial" w:hAnsi="Arial" w:cs="Arial"/>
                <w:sz w:val="22"/>
                <w:szCs w:val="22"/>
              </w:rPr>
              <w:t>towards</w:t>
            </w:r>
            <w:r w:rsidR="00610012" w:rsidRPr="00605616">
              <w:rPr>
                <w:rFonts w:ascii="Arial" w:hAnsi="Arial" w:cs="Arial"/>
                <w:sz w:val="22"/>
                <w:szCs w:val="22"/>
              </w:rPr>
              <w:t xml:space="preserve"> health promotion in older age.</w:t>
            </w:r>
          </w:p>
          <w:p w14:paraId="3FD18673" w14:textId="77777777" w:rsidR="00F407AD" w:rsidRPr="00605616" w:rsidRDefault="00F407AD" w:rsidP="005C26CD">
            <w:pPr>
              <w:spacing w:after="120"/>
              <w:jc w:val="both"/>
              <w:rPr>
                <w:rFonts w:ascii="Arial" w:hAnsi="Arial" w:cs="Arial"/>
                <w:sz w:val="22"/>
                <w:szCs w:val="22"/>
              </w:rPr>
            </w:pPr>
          </w:p>
          <w:p w14:paraId="641FCC4E" w14:textId="77777777" w:rsidR="00F407AD" w:rsidRPr="00605616" w:rsidRDefault="00F407AD" w:rsidP="005C26CD">
            <w:pPr>
              <w:spacing w:after="120"/>
              <w:jc w:val="both"/>
              <w:rPr>
                <w:rFonts w:ascii="Arial" w:hAnsi="Arial" w:cs="Arial"/>
                <w:b/>
                <w:sz w:val="22"/>
                <w:szCs w:val="22"/>
              </w:rPr>
            </w:pPr>
            <w:r w:rsidRPr="00605616">
              <w:rPr>
                <w:rFonts w:ascii="Arial" w:hAnsi="Arial" w:cs="Arial"/>
                <w:b/>
                <w:sz w:val="22"/>
                <w:szCs w:val="22"/>
              </w:rPr>
              <w:t>Proposed format of the session</w:t>
            </w:r>
          </w:p>
          <w:p w14:paraId="32EDC712" w14:textId="77777777" w:rsidR="00F407AD" w:rsidRPr="00605616" w:rsidRDefault="000F66C8" w:rsidP="005C26CD">
            <w:pPr>
              <w:spacing w:after="120"/>
              <w:jc w:val="both"/>
              <w:rPr>
                <w:rFonts w:ascii="Arial" w:hAnsi="Arial" w:cs="Arial"/>
                <w:sz w:val="22"/>
                <w:szCs w:val="22"/>
              </w:rPr>
            </w:pPr>
            <w:r w:rsidRPr="00605616">
              <w:rPr>
                <w:rFonts w:ascii="Arial" w:hAnsi="Arial" w:cs="Arial"/>
                <w:sz w:val="22"/>
                <w:szCs w:val="22"/>
              </w:rPr>
              <w:t>Moderated discussion format. Audience questions will be supple</w:t>
            </w:r>
            <w:r w:rsidR="00F47924" w:rsidRPr="00605616">
              <w:rPr>
                <w:rFonts w:ascii="Arial" w:hAnsi="Arial" w:cs="Arial"/>
                <w:sz w:val="22"/>
                <w:szCs w:val="22"/>
              </w:rPr>
              <w:t xml:space="preserve">mented with discussion prompts </w:t>
            </w:r>
            <w:r w:rsidRPr="00605616">
              <w:rPr>
                <w:rFonts w:ascii="Arial" w:hAnsi="Arial" w:cs="Arial"/>
                <w:sz w:val="22"/>
                <w:szCs w:val="22"/>
              </w:rPr>
              <w:t>to provoke discussion of the policy and practice implications of this research programme.</w:t>
            </w:r>
          </w:p>
          <w:p w14:paraId="66FAC53E" w14:textId="77777777" w:rsidR="00F407AD" w:rsidRPr="00605616" w:rsidRDefault="00F407AD" w:rsidP="005C26CD">
            <w:pPr>
              <w:spacing w:after="120"/>
              <w:jc w:val="both"/>
              <w:rPr>
                <w:rFonts w:ascii="Arial" w:hAnsi="Arial" w:cs="Arial"/>
                <w:b/>
                <w:sz w:val="22"/>
                <w:szCs w:val="22"/>
              </w:rPr>
            </w:pPr>
          </w:p>
          <w:p w14:paraId="3D6DD535" w14:textId="77777777" w:rsidR="00F407AD" w:rsidRPr="00605616" w:rsidRDefault="00F407AD" w:rsidP="005C26CD">
            <w:pPr>
              <w:spacing w:after="120"/>
              <w:jc w:val="both"/>
              <w:rPr>
                <w:rFonts w:ascii="Arial" w:hAnsi="Arial" w:cs="Arial"/>
                <w:b/>
                <w:sz w:val="22"/>
                <w:szCs w:val="22"/>
              </w:rPr>
            </w:pPr>
            <w:r w:rsidRPr="00605616">
              <w:rPr>
                <w:rFonts w:ascii="Arial" w:hAnsi="Arial" w:cs="Arial"/>
                <w:b/>
                <w:sz w:val="22"/>
                <w:szCs w:val="22"/>
              </w:rPr>
              <w:t>Conference theme and/or subthemes addressed</w:t>
            </w:r>
          </w:p>
          <w:p w14:paraId="39992B7F" w14:textId="77777777" w:rsidR="00F407AD" w:rsidRPr="00605616" w:rsidRDefault="0004709B" w:rsidP="00510800">
            <w:pPr>
              <w:spacing w:after="120"/>
              <w:jc w:val="both"/>
              <w:rPr>
                <w:rFonts w:ascii="Arial" w:hAnsi="Arial" w:cs="Arial"/>
                <w:b/>
                <w:sz w:val="22"/>
                <w:szCs w:val="22"/>
              </w:rPr>
            </w:pPr>
            <w:r w:rsidRPr="00605616">
              <w:rPr>
                <w:rFonts w:ascii="Arial" w:hAnsi="Arial" w:cs="Arial"/>
                <w:sz w:val="22"/>
                <w:szCs w:val="22"/>
              </w:rPr>
              <w:t>Health equity - Ensure health equity throughout the life course.</w:t>
            </w:r>
          </w:p>
          <w:p w14:paraId="4426676D" w14:textId="77777777" w:rsidR="00F407AD" w:rsidRPr="00605616" w:rsidRDefault="00F407AD" w:rsidP="00BE682F">
            <w:pPr>
              <w:jc w:val="both"/>
              <w:rPr>
                <w:rFonts w:ascii="Arial" w:hAnsi="Arial" w:cs="Arial"/>
                <w:bCs/>
                <w:sz w:val="22"/>
                <w:szCs w:val="22"/>
              </w:rPr>
            </w:pPr>
          </w:p>
        </w:tc>
      </w:tr>
    </w:tbl>
    <w:p w14:paraId="7E035671" w14:textId="77777777" w:rsidR="004C45A1" w:rsidRPr="00605616" w:rsidRDefault="004C45A1" w:rsidP="004C45A1">
      <w:pPr>
        <w:rPr>
          <w:rFonts w:ascii="Arial" w:hAnsi="Arial" w:cs="Arial"/>
          <w:sz w:val="22"/>
          <w:szCs w:val="22"/>
        </w:rPr>
      </w:pPr>
    </w:p>
    <w:sectPr w:rsidR="004C45A1" w:rsidRPr="0060561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4709B"/>
    <w:rsid w:val="00077988"/>
    <w:rsid w:val="000809F6"/>
    <w:rsid w:val="0008349E"/>
    <w:rsid w:val="000A27DA"/>
    <w:rsid w:val="000C05CE"/>
    <w:rsid w:val="000C6C3D"/>
    <w:rsid w:val="000F66C8"/>
    <w:rsid w:val="001015FE"/>
    <w:rsid w:val="00131D1E"/>
    <w:rsid w:val="00177DCD"/>
    <w:rsid w:val="001B6B1C"/>
    <w:rsid w:val="001C3A37"/>
    <w:rsid w:val="00211765"/>
    <w:rsid w:val="00226B3A"/>
    <w:rsid w:val="00230B21"/>
    <w:rsid w:val="00242808"/>
    <w:rsid w:val="00276387"/>
    <w:rsid w:val="00294265"/>
    <w:rsid w:val="002B7FC8"/>
    <w:rsid w:val="002F34DB"/>
    <w:rsid w:val="00317FFE"/>
    <w:rsid w:val="00363AF7"/>
    <w:rsid w:val="0039287C"/>
    <w:rsid w:val="003A6236"/>
    <w:rsid w:val="003B15A7"/>
    <w:rsid w:val="003D5BAF"/>
    <w:rsid w:val="003E06D7"/>
    <w:rsid w:val="003F596D"/>
    <w:rsid w:val="00490208"/>
    <w:rsid w:val="004B5B95"/>
    <w:rsid w:val="004C45A1"/>
    <w:rsid w:val="004E345D"/>
    <w:rsid w:val="004F5860"/>
    <w:rsid w:val="00510800"/>
    <w:rsid w:val="00531B17"/>
    <w:rsid w:val="00564331"/>
    <w:rsid w:val="00590824"/>
    <w:rsid w:val="00591DD5"/>
    <w:rsid w:val="00593817"/>
    <w:rsid w:val="005C26CD"/>
    <w:rsid w:val="005F7DC7"/>
    <w:rsid w:val="00605616"/>
    <w:rsid w:val="00610012"/>
    <w:rsid w:val="006605DB"/>
    <w:rsid w:val="00663BFF"/>
    <w:rsid w:val="006A7003"/>
    <w:rsid w:val="006C6E32"/>
    <w:rsid w:val="006D6FD6"/>
    <w:rsid w:val="00700A7E"/>
    <w:rsid w:val="0070252B"/>
    <w:rsid w:val="00714C46"/>
    <w:rsid w:val="007421FE"/>
    <w:rsid w:val="00787661"/>
    <w:rsid w:val="007A2A9C"/>
    <w:rsid w:val="007A690D"/>
    <w:rsid w:val="007C0521"/>
    <w:rsid w:val="007E101A"/>
    <w:rsid w:val="00815D83"/>
    <w:rsid w:val="0082392D"/>
    <w:rsid w:val="008874BF"/>
    <w:rsid w:val="00893EAB"/>
    <w:rsid w:val="008B41AE"/>
    <w:rsid w:val="008C05AC"/>
    <w:rsid w:val="008C7A5F"/>
    <w:rsid w:val="008D0830"/>
    <w:rsid w:val="00915B76"/>
    <w:rsid w:val="00932377"/>
    <w:rsid w:val="00975303"/>
    <w:rsid w:val="009B03A8"/>
    <w:rsid w:val="009B1083"/>
    <w:rsid w:val="009B7881"/>
    <w:rsid w:val="00A112C8"/>
    <w:rsid w:val="00A1780F"/>
    <w:rsid w:val="00A52941"/>
    <w:rsid w:val="00AA1598"/>
    <w:rsid w:val="00AA5B46"/>
    <w:rsid w:val="00AB42C9"/>
    <w:rsid w:val="00B12CD1"/>
    <w:rsid w:val="00B20967"/>
    <w:rsid w:val="00B706D3"/>
    <w:rsid w:val="00B766BF"/>
    <w:rsid w:val="00BC5CBE"/>
    <w:rsid w:val="00C07A1C"/>
    <w:rsid w:val="00C211D2"/>
    <w:rsid w:val="00C84789"/>
    <w:rsid w:val="00C91F3F"/>
    <w:rsid w:val="00CA0DE6"/>
    <w:rsid w:val="00CB2597"/>
    <w:rsid w:val="00CC5CF2"/>
    <w:rsid w:val="00CD0335"/>
    <w:rsid w:val="00CE496D"/>
    <w:rsid w:val="00CE5D57"/>
    <w:rsid w:val="00D16E9D"/>
    <w:rsid w:val="00D51389"/>
    <w:rsid w:val="00D71EFE"/>
    <w:rsid w:val="00D93B88"/>
    <w:rsid w:val="00DA45EE"/>
    <w:rsid w:val="00DA7A71"/>
    <w:rsid w:val="00DC2C64"/>
    <w:rsid w:val="00DE6C48"/>
    <w:rsid w:val="00DE6D44"/>
    <w:rsid w:val="00E03E48"/>
    <w:rsid w:val="00E0479B"/>
    <w:rsid w:val="00E20B7A"/>
    <w:rsid w:val="00E36AD7"/>
    <w:rsid w:val="00E379B4"/>
    <w:rsid w:val="00E458B1"/>
    <w:rsid w:val="00EA44DE"/>
    <w:rsid w:val="00F16B61"/>
    <w:rsid w:val="00F407AD"/>
    <w:rsid w:val="00F47924"/>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3608"/>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character" w:styleId="CommentReference">
    <w:name w:val="annotation reference"/>
    <w:basedOn w:val="DefaultParagraphFont"/>
    <w:semiHidden/>
    <w:unhideWhenUsed/>
    <w:rsid w:val="000C6C3D"/>
    <w:rPr>
      <w:sz w:val="16"/>
      <w:szCs w:val="16"/>
    </w:rPr>
  </w:style>
  <w:style w:type="paragraph" w:styleId="CommentText">
    <w:name w:val="annotation text"/>
    <w:basedOn w:val="Normal"/>
    <w:link w:val="CommentTextChar"/>
    <w:semiHidden/>
    <w:unhideWhenUsed/>
    <w:rsid w:val="000C6C3D"/>
    <w:rPr>
      <w:sz w:val="20"/>
      <w:szCs w:val="20"/>
    </w:rPr>
  </w:style>
  <w:style w:type="character" w:customStyle="1" w:styleId="CommentTextChar">
    <w:name w:val="Comment Text Char"/>
    <w:basedOn w:val="DefaultParagraphFont"/>
    <w:link w:val="CommentText"/>
    <w:semiHidden/>
    <w:rsid w:val="000C6C3D"/>
    <w:rPr>
      <w:lang w:val="en-GB" w:eastAsia="en-US"/>
    </w:rPr>
  </w:style>
  <w:style w:type="paragraph" w:styleId="CommentSubject">
    <w:name w:val="annotation subject"/>
    <w:basedOn w:val="CommentText"/>
    <w:next w:val="CommentText"/>
    <w:link w:val="CommentSubjectChar"/>
    <w:semiHidden/>
    <w:unhideWhenUsed/>
    <w:rsid w:val="000C6C3D"/>
    <w:rPr>
      <w:b/>
      <w:bCs/>
    </w:rPr>
  </w:style>
  <w:style w:type="character" w:customStyle="1" w:styleId="CommentSubjectChar">
    <w:name w:val="Comment Subject Char"/>
    <w:basedOn w:val="CommentTextChar"/>
    <w:link w:val="CommentSubject"/>
    <w:semiHidden/>
    <w:rsid w:val="000C6C3D"/>
    <w:rPr>
      <w:b/>
      <w:bCs/>
      <w:lang w:val="en-GB" w:eastAsia="en-US"/>
    </w:rPr>
  </w:style>
  <w:style w:type="paragraph" w:styleId="BalloonText">
    <w:name w:val="Balloon Text"/>
    <w:basedOn w:val="Normal"/>
    <w:link w:val="BalloonTextChar"/>
    <w:rsid w:val="000C6C3D"/>
    <w:rPr>
      <w:rFonts w:ascii="Segoe UI" w:hAnsi="Segoe UI" w:cs="Segoe UI"/>
      <w:sz w:val="18"/>
      <w:szCs w:val="18"/>
    </w:rPr>
  </w:style>
  <w:style w:type="character" w:customStyle="1" w:styleId="BalloonTextChar">
    <w:name w:val="Balloon Text Char"/>
    <w:basedOn w:val="DefaultParagraphFont"/>
    <w:link w:val="BalloonText"/>
    <w:rsid w:val="000C6C3D"/>
    <w:rPr>
      <w:rFonts w:ascii="Segoe UI" w:hAnsi="Segoe UI" w:cs="Segoe UI"/>
      <w:sz w:val="18"/>
      <w:szCs w:val="18"/>
      <w:lang w:val="en-GB" w:eastAsia="en-US"/>
    </w:rPr>
  </w:style>
  <w:style w:type="paragraph" w:customStyle="1" w:styleId="Introductoryparagraph">
    <w:name w:val="Introductory paragraph"/>
    <w:basedOn w:val="Normal"/>
    <w:next w:val="Normal"/>
    <w:qFormat/>
    <w:rsid w:val="00815D83"/>
    <w:pPr>
      <w:spacing w:after="120" w:line="264" w:lineRule="auto"/>
    </w:pPr>
    <w:rPr>
      <w:rFonts w:ascii="Georgia" w:hAnsi="Georgia"/>
      <w:sz w:val="28"/>
      <w:szCs w:val="20"/>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73612105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purl.org/dc/dcmitype/"/>
    <ds:schemaRef ds:uri="http://schemas.openxmlformats.org/package/2006/metadata/core-properties"/>
    <ds:schemaRef ds:uri="6911e96c-4cc4-42d5-8e43-f93924cf6a05"/>
    <ds:schemaRef ds:uri="http://purl.org/dc/terms/"/>
    <ds:schemaRef ds:uri="http://schemas.microsoft.com/office/2006/metadata/properties"/>
    <ds:schemaRef ds:uri="http://www.w3.org/XML/1998/namespace"/>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BCAE469-4EFB-48DE-9E1F-312FCE9A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8791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2018-09-04T03:43:00Z</dcterms:created>
  <dcterms:modified xsi:type="dcterms:W3CDTF">2018-09-04T03:43:00Z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