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84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1564A4" w:rsidRPr="0050053A" w14:paraId="5C38377B" w14:textId="77777777" w:rsidTr="00DC58CA">
        <w:trPr>
          <w:trHeight w:val="1203"/>
        </w:trPr>
        <w:tc>
          <w:tcPr>
            <w:tcW w:w="10660" w:type="dxa"/>
            <w:shd w:val="clear" w:color="auto" w:fill="auto"/>
          </w:tcPr>
          <w:p w14:paraId="5C44F357" w14:textId="5075807A" w:rsidR="001564A4" w:rsidRPr="0050053A" w:rsidRDefault="002B3BB3" w:rsidP="00F05B1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Peripheral Blood T cell signature</w:t>
            </w:r>
            <w:r w:rsidR="00EF08C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during </w:t>
            </w:r>
            <w:r w:rsidR="00E974F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cute exacerbation of four common lung diseases: </w:t>
            </w:r>
            <w:r w:rsidR="007C071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chronic obstructive pulmonary disease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, asthma, cystic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fibrosis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non-cystic fibrosis bronchiectasis</w:t>
            </w:r>
          </w:p>
        </w:tc>
      </w:tr>
      <w:tr w:rsidR="001564A4" w:rsidRPr="0050053A" w14:paraId="0E2E035C" w14:textId="77777777" w:rsidTr="00DC58CA">
        <w:trPr>
          <w:trHeight w:val="882"/>
        </w:trPr>
        <w:tc>
          <w:tcPr>
            <w:tcW w:w="10660" w:type="dxa"/>
            <w:shd w:val="clear" w:color="auto" w:fill="auto"/>
          </w:tcPr>
          <w:p w14:paraId="73B55295" w14:textId="5589A253" w:rsidR="001564A4" w:rsidRPr="002B3BB3" w:rsidRDefault="002B3BB3" w:rsidP="00F05B1A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Lisa M Jurak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Champa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N. Ratnatunga</w:t>
            </w:r>
            <w:r w:rsid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Abella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Murray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Tyler Gilstrom</w:t>
            </w:r>
            <w:r w:rsid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Daniel J. Smith</w:t>
            </w:r>
            <w:r w:rsid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John J. Miles</w:t>
            </w:r>
            <w:r w:rsid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 David W. Reid</w:t>
            </w:r>
            <w:r w:rsidR="00AE4879" w:rsidRPr="00AE48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4,6</w:t>
            </w:r>
          </w:p>
        </w:tc>
      </w:tr>
      <w:tr w:rsidR="001564A4" w:rsidRPr="0050053A" w14:paraId="385A19D9" w14:textId="77777777" w:rsidTr="00DC58CA">
        <w:trPr>
          <w:trHeight w:val="162"/>
        </w:trPr>
        <w:tc>
          <w:tcPr>
            <w:tcW w:w="10660" w:type="dxa"/>
            <w:shd w:val="clear" w:color="auto" w:fill="auto"/>
          </w:tcPr>
          <w:p w14:paraId="1643A330" w14:textId="136A440F" w:rsidR="001564A4" w:rsidRPr="0050053A" w:rsidRDefault="001564A4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B3B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Human immunity laboratory, QIMR Berghofer Medical Research Institute, Brisbane</w:t>
            </w:r>
          </w:p>
          <w:p w14:paraId="3BD815D8" w14:textId="1365BBF3" w:rsidR="001564A4" w:rsidRPr="0050053A" w:rsidRDefault="001564A4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B3B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Biodiscovery and Molecular Development of Therapeutics and Centre for Biosecurity and Tropical Infectious Diseases, AITHM, James Cook University, Cairns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BCADC27" w14:textId="0C246633" w:rsidR="001564A4" w:rsidRPr="0050053A" w:rsidRDefault="001564A4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2B3B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Queensland</w:t>
            </w:r>
          </w:p>
          <w:p w14:paraId="606CB874" w14:textId="74AD3215" w:rsidR="001564A4" w:rsidRPr="0050053A" w:rsidRDefault="001564A4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2B3B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for Thoracic Medicine, The Prince Charles Hospital, Brisbane</w:t>
            </w:r>
          </w:p>
          <w:p w14:paraId="2C64B8EA" w14:textId="77777777" w:rsidR="001564A4" w:rsidRDefault="001564A4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2B3BB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inflammation and infection laboratory, QIMR Berghofer Medical Research Institute, Brisbane</w:t>
            </w:r>
          </w:p>
          <w:p w14:paraId="45ED36BF" w14:textId="4BDF497A" w:rsidR="002B3BB3" w:rsidRPr="0050053A" w:rsidRDefault="002B3BB3" w:rsidP="00F05B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E487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Bacter</w:t>
            </w:r>
            <w:r w:rsidR="00AE487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ia, QIMR Berghofer Medical Research Institute, Brisbane</w:t>
            </w:r>
          </w:p>
        </w:tc>
      </w:tr>
      <w:tr w:rsidR="001564A4" w:rsidRPr="0050053A" w14:paraId="6DAF615A" w14:textId="77777777" w:rsidTr="00DC58CA">
        <w:trPr>
          <w:trHeight w:hRule="exact" w:val="10221"/>
        </w:trPr>
        <w:tc>
          <w:tcPr>
            <w:tcW w:w="10660" w:type="dxa"/>
            <w:shd w:val="clear" w:color="auto" w:fill="auto"/>
          </w:tcPr>
          <w:p w14:paraId="739E7937" w14:textId="77777777" w:rsidR="001564A4" w:rsidRPr="0050053A" w:rsidRDefault="001564A4" w:rsidP="00F05B1A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793D7937" w14:textId="1097FBB8" w:rsidR="000B4F69" w:rsidRDefault="00F05B1A" w:rsidP="00F05B1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Pulmonary exacerbations are a common feature of </w:t>
            </w:r>
            <w:r w:rsidR="00217ACD">
              <w:rPr>
                <w:sz w:val="22"/>
                <w:szCs w:val="22"/>
              </w:rPr>
              <w:t>chronic obstructive pulmonary disease (</w:t>
            </w:r>
            <w:r>
              <w:rPr>
                <w:sz w:val="22"/>
                <w:szCs w:val="22"/>
              </w:rPr>
              <w:t>COPD</w:t>
            </w:r>
            <w:r w:rsidR="00217AC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asthma, </w:t>
            </w:r>
            <w:r w:rsidR="00217ACD">
              <w:rPr>
                <w:sz w:val="22"/>
                <w:szCs w:val="22"/>
              </w:rPr>
              <w:t>cystic fibrosis (</w:t>
            </w:r>
            <w:r>
              <w:rPr>
                <w:sz w:val="22"/>
                <w:szCs w:val="22"/>
              </w:rPr>
              <w:t>CF</w:t>
            </w:r>
            <w:r w:rsidR="00217AC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 </w:t>
            </w:r>
            <w:r w:rsidR="00217ACD">
              <w:rPr>
                <w:sz w:val="22"/>
                <w:szCs w:val="22"/>
              </w:rPr>
              <w:t>non-cystic fibrosis bronchiectasis (</w:t>
            </w:r>
            <w:r>
              <w:rPr>
                <w:sz w:val="22"/>
                <w:szCs w:val="22"/>
              </w:rPr>
              <w:t>NCFB</w:t>
            </w:r>
            <w:r w:rsidR="00217AC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="00D178A6">
              <w:rPr>
                <w:sz w:val="22"/>
                <w:szCs w:val="22"/>
              </w:rPr>
              <w:t xml:space="preserve">Individuals hospitalised with these chronic airway diseases usually have severe disease and experience </w:t>
            </w:r>
            <w:r>
              <w:rPr>
                <w:sz w:val="22"/>
                <w:szCs w:val="22"/>
              </w:rPr>
              <w:t xml:space="preserve"> repeated </w:t>
            </w:r>
            <w:r w:rsidR="00D178A6">
              <w:rPr>
                <w:sz w:val="22"/>
                <w:szCs w:val="22"/>
              </w:rPr>
              <w:t>exacerbations, but the impact on the host</w:t>
            </w:r>
            <w:r>
              <w:rPr>
                <w:sz w:val="22"/>
                <w:szCs w:val="22"/>
              </w:rPr>
              <w:t xml:space="preserve"> immune response </w:t>
            </w:r>
            <w:r w:rsidR="00D178A6">
              <w:rPr>
                <w:sz w:val="22"/>
                <w:szCs w:val="22"/>
              </w:rPr>
              <w:t>and in particular,</w:t>
            </w:r>
            <w:r>
              <w:rPr>
                <w:sz w:val="22"/>
                <w:szCs w:val="22"/>
              </w:rPr>
              <w:t xml:space="preserve"> T cell </w:t>
            </w:r>
            <w:r w:rsidR="00D178A6">
              <w:rPr>
                <w:sz w:val="22"/>
                <w:szCs w:val="22"/>
              </w:rPr>
              <w:t xml:space="preserve">responses and potential for </w:t>
            </w:r>
            <w:r>
              <w:rPr>
                <w:sz w:val="22"/>
                <w:szCs w:val="22"/>
              </w:rPr>
              <w:t xml:space="preserve">exhaustion and </w:t>
            </w:r>
            <w:r w:rsidR="00D178A6">
              <w:rPr>
                <w:sz w:val="22"/>
                <w:szCs w:val="22"/>
              </w:rPr>
              <w:t xml:space="preserve">thus </w:t>
            </w:r>
            <w:r>
              <w:rPr>
                <w:sz w:val="22"/>
                <w:szCs w:val="22"/>
              </w:rPr>
              <w:t xml:space="preserve">loss of </w:t>
            </w:r>
            <w:r w:rsidR="00D178A6">
              <w:rPr>
                <w:sz w:val="22"/>
                <w:szCs w:val="22"/>
              </w:rPr>
              <w:t xml:space="preserve">immune </w:t>
            </w:r>
            <w:r>
              <w:rPr>
                <w:sz w:val="22"/>
                <w:szCs w:val="22"/>
              </w:rPr>
              <w:t>function</w:t>
            </w:r>
            <w:r w:rsidR="00D178A6">
              <w:rPr>
                <w:sz w:val="22"/>
                <w:szCs w:val="22"/>
              </w:rPr>
              <w:t xml:space="preserve"> is poorly characterised</w:t>
            </w:r>
            <w:r>
              <w:rPr>
                <w:sz w:val="22"/>
                <w:szCs w:val="22"/>
              </w:rPr>
              <w:t>.</w:t>
            </w:r>
          </w:p>
          <w:p w14:paraId="602360F0" w14:textId="77777777" w:rsidR="00F05B1A" w:rsidRPr="00F05B1A" w:rsidRDefault="00F05B1A" w:rsidP="00F05B1A">
            <w:pPr>
              <w:pStyle w:val="Default"/>
            </w:pPr>
          </w:p>
          <w:p w14:paraId="74D7758A" w14:textId="3BE8D50D" w:rsidR="000B4F69" w:rsidRPr="000B4F69" w:rsidRDefault="000B4F69" w:rsidP="00F05B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 first step towards understanding</w:t>
            </w:r>
            <w:r w:rsidR="00F05B1A">
              <w:rPr>
                <w:sz w:val="22"/>
                <w:szCs w:val="22"/>
              </w:rPr>
              <w:t xml:space="preserve"> the role of T cell immunity </w:t>
            </w:r>
            <w:r w:rsidR="00D178A6">
              <w:rPr>
                <w:sz w:val="22"/>
                <w:szCs w:val="22"/>
              </w:rPr>
              <w:t>across these airway diseases</w:t>
            </w:r>
            <w:r w:rsidR="00F05B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05B1A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 characterise</w:t>
            </w:r>
            <w:r w:rsidR="00D178A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="00D178A6">
              <w:rPr>
                <w:sz w:val="22"/>
                <w:szCs w:val="22"/>
              </w:rPr>
              <w:t xml:space="preserve">and compared </w:t>
            </w:r>
            <w:proofErr w:type="spellStart"/>
            <w:r>
              <w:rPr>
                <w:sz w:val="22"/>
                <w:szCs w:val="22"/>
              </w:rPr>
              <w:t>Tcell</w:t>
            </w:r>
            <w:proofErr w:type="spellEnd"/>
            <w:r>
              <w:rPr>
                <w:sz w:val="22"/>
                <w:szCs w:val="22"/>
              </w:rPr>
              <w:t xml:space="preserve"> phenotypes during acute exacerbation</w:t>
            </w:r>
            <w:r w:rsidR="00D178A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 COPD, asthma, CF and NCFB</w:t>
            </w:r>
            <w:r w:rsidR="00F05B1A">
              <w:rPr>
                <w:sz w:val="22"/>
                <w:szCs w:val="22"/>
              </w:rPr>
              <w:t>. We</w:t>
            </w:r>
            <w:r>
              <w:rPr>
                <w:sz w:val="22"/>
                <w:szCs w:val="22"/>
              </w:rPr>
              <w:t xml:space="preserve"> </w:t>
            </w:r>
            <w:r w:rsidR="00F05B1A">
              <w:rPr>
                <w:sz w:val="22"/>
                <w:szCs w:val="22"/>
              </w:rPr>
              <w:t xml:space="preserve">compared </w:t>
            </w:r>
            <w:r>
              <w:rPr>
                <w:sz w:val="22"/>
                <w:szCs w:val="22"/>
              </w:rPr>
              <w:t>both activation and exhaustion markers and investigate</w:t>
            </w:r>
            <w:r w:rsidR="00A4447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="00D178A6">
              <w:rPr>
                <w:sz w:val="22"/>
                <w:szCs w:val="22"/>
              </w:rPr>
              <w:t>expression</w:t>
            </w:r>
            <w:r>
              <w:rPr>
                <w:sz w:val="22"/>
                <w:szCs w:val="22"/>
              </w:rPr>
              <w:t xml:space="preserve"> of these immune checkpoint markers over the course of an exacerbation</w:t>
            </w:r>
            <w:r w:rsidR="00034DBB">
              <w:rPr>
                <w:sz w:val="22"/>
                <w:szCs w:val="22"/>
              </w:rPr>
              <w:t xml:space="preserve"> through to clinical resolution.</w:t>
            </w:r>
            <w:r>
              <w:rPr>
                <w:sz w:val="22"/>
                <w:szCs w:val="22"/>
              </w:rPr>
              <w:t xml:space="preserve"> </w:t>
            </w:r>
          </w:p>
          <w:p w14:paraId="1053698C" w14:textId="77777777" w:rsidR="000B4F69" w:rsidRDefault="000B4F69" w:rsidP="00F05B1A">
            <w:pPr>
              <w:pStyle w:val="Pa12"/>
              <w:rPr>
                <w:rStyle w:val="A4"/>
                <w:b/>
                <w:bCs/>
              </w:rPr>
            </w:pPr>
          </w:p>
          <w:p w14:paraId="1B39336E" w14:textId="0297B04F" w:rsidR="001564A4" w:rsidRPr="0050053A" w:rsidRDefault="001564A4" w:rsidP="00F05B1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2C729DF0" w:rsidR="001564A4" w:rsidRPr="00034DBB" w:rsidRDefault="00034DBB" w:rsidP="00F05B1A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Peripheral blood mononuclear cells were isolated from people with COPD, asthma, CF and NCFB and analysed using flow cytometry</w:t>
            </w:r>
            <w:r w:rsidR="00EF08C2">
              <w:rPr>
                <w:sz w:val="22"/>
                <w:szCs w:val="22"/>
              </w:rPr>
              <w:t xml:space="preserve"> to examine the activation status of conventional CD4, CD8, regulatory T cells and mucosa associated invariant T cells</w:t>
            </w:r>
            <w:r>
              <w:rPr>
                <w:sz w:val="22"/>
                <w:szCs w:val="22"/>
              </w:rPr>
              <w:t xml:space="preserve">. Blood was collected at </w:t>
            </w:r>
            <w:r w:rsidR="00D178A6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time of admission with an acute exacerbation and followed through to clinical resolution. 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77777777" w:rsidR="001564A4" w:rsidRPr="0050053A" w:rsidRDefault="001564A4" w:rsidP="00F05B1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61F39BC4" w:rsidR="001564A4" w:rsidRPr="00034DBB" w:rsidRDefault="00034DBB" w:rsidP="00F05B1A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Our analysis found that asthma and NCFB were </w:t>
            </w:r>
            <w:r w:rsidR="00D178A6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most alike with </w:t>
            </w:r>
            <w:r w:rsidR="00D178A6">
              <w:rPr>
                <w:sz w:val="22"/>
                <w:szCs w:val="22"/>
              </w:rPr>
              <w:t xml:space="preserve">both diseases characterised by </w:t>
            </w:r>
            <w:r>
              <w:rPr>
                <w:sz w:val="22"/>
                <w:szCs w:val="22"/>
              </w:rPr>
              <w:t xml:space="preserve">an exhausted phenotype observed across multiple T cell lineages. In contrast, people with COPD had distinct features characterised by up-regulation of immune checkpoint inhibitors CTLA4 and PD-1. </w:t>
            </w:r>
            <w:r w:rsidR="00D178A6">
              <w:rPr>
                <w:sz w:val="22"/>
                <w:szCs w:val="22"/>
              </w:rPr>
              <w:t>In contrast</w:t>
            </w:r>
            <w:r>
              <w:rPr>
                <w:sz w:val="22"/>
                <w:szCs w:val="22"/>
              </w:rPr>
              <w:t xml:space="preserve">, people with CF were characterised by upregulation of </w:t>
            </w:r>
            <w:r w:rsidR="00CE6AF4">
              <w:rPr>
                <w:sz w:val="22"/>
                <w:szCs w:val="22"/>
              </w:rPr>
              <w:t xml:space="preserve">inhibitory </w:t>
            </w:r>
            <w:r>
              <w:rPr>
                <w:sz w:val="22"/>
                <w:szCs w:val="22"/>
              </w:rPr>
              <w:t xml:space="preserve">TIM3. Interestingly, despite these major differences at time of presentation, </w:t>
            </w:r>
            <w:r w:rsidR="00D178A6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all four diseases </w:t>
            </w:r>
            <w:r w:rsidR="00CE6AF4">
              <w:rPr>
                <w:sz w:val="22"/>
                <w:szCs w:val="22"/>
              </w:rPr>
              <w:t xml:space="preserve">there was little change in the </w:t>
            </w:r>
            <w:r>
              <w:rPr>
                <w:sz w:val="22"/>
                <w:szCs w:val="22"/>
              </w:rPr>
              <w:t>comparative levels of each immune check point marker</w:t>
            </w:r>
            <w:r w:rsidR="0061490E">
              <w:rPr>
                <w:sz w:val="22"/>
                <w:szCs w:val="22"/>
              </w:rPr>
              <w:t xml:space="preserve"> or overall</w:t>
            </w:r>
            <w:r>
              <w:rPr>
                <w:sz w:val="22"/>
                <w:szCs w:val="22"/>
              </w:rPr>
              <w:t xml:space="preserve"> significant change </w:t>
            </w:r>
            <w:r w:rsidR="0061490E">
              <w:rPr>
                <w:sz w:val="22"/>
                <w:szCs w:val="22"/>
              </w:rPr>
              <w:t xml:space="preserve">in expression </w:t>
            </w:r>
            <w:r w:rsidR="00CE6AF4">
              <w:rPr>
                <w:sz w:val="22"/>
                <w:szCs w:val="22"/>
              </w:rPr>
              <w:t xml:space="preserve">apparent during treatment </w:t>
            </w:r>
            <w:r>
              <w:rPr>
                <w:sz w:val="22"/>
                <w:szCs w:val="22"/>
              </w:rPr>
              <w:t>despite clinical improvement</w:t>
            </w:r>
            <w:r w:rsidR="00CE6AF4">
              <w:rPr>
                <w:sz w:val="22"/>
                <w:szCs w:val="22"/>
              </w:rPr>
              <w:t xml:space="preserve"> experienced in all subjects</w:t>
            </w:r>
            <w:r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652F7BE1" w14:textId="77777777" w:rsidR="001564A4" w:rsidRPr="0050053A" w:rsidRDefault="001564A4" w:rsidP="00F05B1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25B5F32C" w:rsidR="001564A4" w:rsidRDefault="00034DBB" w:rsidP="00F05B1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the first observational study of its kind to directly compare immune inhibitory and activation markers across </w:t>
            </w:r>
            <w:r w:rsidR="009A20A7">
              <w:rPr>
                <w:sz w:val="22"/>
                <w:szCs w:val="22"/>
              </w:rPr>
              <w:t xml:space="preserve">four </w:t>
            </w:r>
            <w:r>
              <w:rPr>
                <w:sz w:val="22"/>
                <w:szCs w:val="22"/>
              </w:rPr>
              <w:t xml:space="preserve">major respiratory diseases during an acute exacerbation. Our analysis highlighted evidence of global dysfunction across multiple T cell populations, which will facilitate the discovery of new novel therapeutic targets in </w:t>
            </w:r>
            <w:r w:rsidR="009A20A7">
              <w:rPr>
                <w:sz w:val="22"/>
                <w:szCs w:val="22"/>
              </w:rPr>
              <w:t>in these devastating diseases</w:t>
            </w:r>
            <w:r>
              <w:rPr>
                <w:sz w:val="22"/>
                <w:szCs w:val="22"/>
              </w:rPr>
              <w:t xml:space="preserve">. </w:t>
            </w:r>
          </w:p>
          <w:p w14:paraId="5B77BA62" w14:textId="77777777" w:rsidR="00034DBB" w:rsidRPr="00034DBB" w:rsidRDefault="00034DBB" w:rsidP="00034DBB">
            <w:pPr>
              <w:pStyle w:val="Default"/>
            </w:pPr>
          </w:p>
          <w:p w14:paraId="67D6FD5A" w14:textId="0D9D5FB6" w:rsidR="00333315" w:rsidRDefault="001564A4" w:rsidP="00F05B1A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>
              <w:rPr>
                <w:sz w:val="22"/>
                <w:szCs w:val="22"/>
              </w:rPr>
              <w:br/>
            </w:r>
            <w:r w:rsidR="00333315">
              <w:rPr>
                <w:sz w:val="22"/>
                <w:szCs w:val="22"/>
              </w:rPr>
              <w:t>QIMR-Berghofer Clinician</w:t>
            </w:r>
            <w:r w:rsidR="009A20A7">
              <w:rPr>
                <w:sz w:val="22"/>
                <w:szCs w:val="22"/>
              </w:rPr>
              <w:t xml:space="preserve"> </w:t>
            </w:r>
            <w:r w:rsidR="00333315">
              <w:rPr>
                <w:sz w:val="22"/>
                <w:szCs w:val="22"/>
              </w:rPr>
              <w:t xml:space="preserve">Research </w:t>
            </w:r>
            <w:r w:rsidR="009A20A7">
              <w:rPr>
                <w:sz w:val="22"/>
                <w:szCs w:val="22"/>
              </w:rPr>
              <w:t>Collaborati</w:t>
            </w:r>
            <w:r w:rsidR="00333315">
              <w:rPr>
                <w:sz w:val="22"/>
                <w:szCs w:val="22"/>
              </w:rPr>
              <w:t>on</w:t>
            </w:r>
            <w:r w:rsidR="009A20A7">
              <w:rPr>
                <w:sz w:val="22"/>
                <w:szCs w:val="22"/>
              </w:rPr>
              <w:t xml:space="preserve"> Grant</w:t>
            </w:r>
            <w:r w:rsidR="00333315">
              <w:rPr>
                <w:sz w:val="22"/>
                <w:szCs w:val="22"/>
              </w:rPr>
              <w:t xml:space="preserve"> award 2015.</w:t>
            </w:r>
          </w:p>
          <w:p w14:paraId="7F8381F0" w14:textId="3A5D33AF" w:rsidR="001564A4" w:rsidRPr="00EF08C2" w:rsidRDefault="00333315" w:rsidP="00F05B1A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TPCH Research Foundation Murray New investigator award (</w:t>
            </w:r>
            <w:proofErr w:type="spellStart"/>
            <w:r>
              <w:rPr>
                <w:sz w:val="22"/>
                <w:szCs w:val="22"/>
              </w:rPr>
              <w:t>Abella</w:t>
            </w:r>
            <w:proofErr w:type="spellEnd"/>
            <w:r>
              <w:rPr>
                <w:sz w:val="22"/>
                <w:szCs w:val="22"/>
              </w:rPr>
              <w:t xml:space="preserve"> Murray).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F05B1A">
            <w:pPr>
              <w:pStyle w:val="Default"/>
            </w:pPr>
          </w:p>
          <w:p w14:paraId="34BF0A0F" w14:textId="77777777" w:rsidR="001564A4" w:rsidRPr="003E35F0" w:rsidRDefault="001564A4" w:rsidP="00F05B1A">
            <w:pPr>
              <w:pStyle w:val="Default"/>
            </w:pPr>
          </w:p>
          <w:p w14:paraId="1FF1A88F" w14:textId="77777777" w:rsidR="001564A4" w:rsidRPr="0050053A" w:rsidRDefault="001564A4" w:rsidP="00F05B1A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F05B1A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F05B1A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4DBB"/>
    <w:rsid w:val="00064E7A"/>
    <w:rsid w:val="000B4F69"/>
    <w:rsid w:val="001564A4"/>
    <w:rsid w:val="00217ACD"/>
    <w:rsid w:val="002B3BB3"/>
    <w:rsid w:val="00333315"/>
    <w:rsid w:val="00360D67"/>
    <w:rsid w:val="00374E02"/>
    <w:rsid w:val="004F5A57"/>
    <w:rsid w:val="0051574E"/>
    <w:rsid w:val="0061490E"/>
    <w:rsid w:val="007C071B"/>
    <w:rsid w:val="008803FA"/>
    <w:rsid w:val="00937144"/>
    <w:rsid w:val="009672AB"/>
    <w:rsid w:val="009A20A7"/>
    <w:rsid w:val="009B7717"/>
    <w:rsid w:val="00A44476"/>
    <w:rsid w:val="00AE4879"/>
    <w:rsid w:val="00B12E32"/>
    <w:rsid w:val="00BA15C4"/>
    <w:rsid w:val="00CE6AF4"/>
    <w:rsid w:val="00D11FD2"/>
    <w:rsid w:val="00D178A6"/>
    <w:rsid w:val="00DC58CA"/>
    <w:rsid w:val="00E0700F"/>
    <w:rsid w:val="00E974F7"/>
    <w:rsid w:val="00EF08C2"/>
    <w:rsid w:val="00F05B1A"/>
    <w:rsid w:val="00F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178A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Lisa Jurak</cp:lastModifiedBy>
  <cp:revision>3</cp:revision>
  <dcterms:created xsi:type="dcterms:W3CDTF">2023-10-17T22:29:00Z</dcterms:created>
  <dcterms:modified xsi:type="dcterms:W3CDTF">2023-10-17T22:30:00Z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2023-10-09T05:42:05Z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bd6526d3-8a96-4003-ad3c-7f7cc34fd524</vt:lpwstr>
  </property>
  <property fmtid="{D5CDD505-2E9C-101B-9397-08002B2CF9AE}" pid="10" name="MSIP_Label_0f488380-630a-4f55-a077-a19445e3f360_ContentBits">
    <vt:lpwstr>0</vt:lpwstr>
  </property>
</Properties>
</file>