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751188" w14:paraId="3CA33060" w14:textId="77777777" w:rsidTr="009F4EA0">
        <w:tc>
          <w:tcPr>
            <w:tcW w:w="8640" w:type="dxa"/>
            <w:shd w:val="clear" w:color="auto" w:fill="F2F2F2" w:themeFill="background1" w:themeFillShade="F2"/>
          </w:tcPr>
          <w:p w14:paraId="73238EC9" w14:textId="77777777" w:rsidR="00751188" w:rsidRPr="00751188" w:rsidRDefault="00751188" w:rsidP="00751188">
            <w:pPr>
              <w:jc w:val="both"/>
              <w:rPr>
                <w:rFonts w:ascii="Arial" w:hAnsi="Arial" w:cs="Arial"/>
                <w:bCs/>
                <w:i/>
                <w:iCs/>
                <w:sz w:val="22"/>
                <w:szCs w:val="22"/>
              </w:rPr>
            </w:pPr>
            <w:r w:rsidRPr="00751188">
              <w:rPr>
                <w:rFonts w:ascii="Arial" w:hAnsi="Arial" w:cs="Arial"/>
                <w:bCs/>
                <w:i/>
                <w:iCs/>
                <w:sz w:val="22"/>
                <w:szCs w:val="22"/>
              </w:rPr>
              <w:t>Paper</w:t>
            </w:r>
          </w:p>
          <w:p w14:paraId="4FED29D5" w14:textId="21346C18" w:rsidR="00C8423A" w:rsidRPr="00751188" w:rsidRDefault="000465FC" w:rsidP="00751188">
            <w:pPr>
              <w:jc w:val="both"/>
              <w:rPr>
                <w:rFonts w:ascii="Arial" w:hAnsi="Arial" w:cs="Arial"/>
                <w:b/>
                <w:sz w:val="22"/>
                <w:szCs w:val="22"/>
              </w:rPr>
            </w:pPr>
            <w:r w:rsidRPr="00751188">
              <w:rPr>
                <w:rFonts w:ascii="Arial" w:hAnsi="Arial" w:cs="Arial"/>
                <w:b/>
                <w:sz w:val="22"/>
                <w:szCs w:val="22"/>
              </w:rPr>
              <w:t>Does Thirty Years Make a Difference? Environmental Justice and Toxic Facility Distribution in Maricopa County, AZ (1990–2020)</w:t>
            </w:r>
          </w:p>
          <w:p w14:paraId="3F7D1534" w14:textId="77777777" w:rsidR="00C8423A" w:rsidRPr="00751188" w:rsidRDefault="00C8423A" w:rsidP="0065012F">
            <w:pPr>
              <w:tabs>
                <w:tab w:val="left" w:pos="3386"/>
              </w:tabs>
              <w:jc w:val="both"/>
              <w:rPr>
                <w:rFonts w:ascii="Arial" w:hAnsi="Arial" w:cs="Arial"/>
                <w:b/>
                <w:sz w:val="22"/>
                <w:szCs w:val="22"/>
              </w:rPr>
            </w:pPr>
          </w:p>
        </w:tc>
      </w:tr>
      <w:tr w:rsidR="00C8423A" w:rsidRPr="0003525D" w14:paraId="1A1C8C63" w14:textId="77777777" w:rsidTr="009F4EA0">
        <w:trPr>
          <w:trHeight w:val="3124"/>
        </w:trPr>
        <w:tc>
          <w:tcPr>
            <w:tcW w:w="8640" w:type="dxa"/>
          </w:tcPr>
          <w:p w14:paraId="0E099FD3" w14:textId="77777777" w:rsidR="00751188" w:rsidRDefault="00751188" w:rsidP="000465FC">
            <w:pPr>
              <w:pStyle w:val="p1"/>
            </w:pPr>
          </w:p>
          <w:p w14:paraId="65A278DB" w14:textId="49DBBDB5" w:rsidR="00C8423A" w:rsidRPr="000465FC" w:rsidRDefault="000465FC" w:rsidP="000465FC">
            <w:pPr>
              <w:pStyle w:val="p1"/>
            </w:pPr>
            <w:r>
              <w:t xml:space="preserve">This study investigates the relationship between demographic changes, industrial pollution, and environmental justice in Maricopa County, Arizona, from 1990 to 2020. Using data from the Toxic Release Inventory (TRI) and the U.S. Census, the analysis examines shifts in the spatial distribution of toxic facilities, pollution levels, and affected populations. The findings reveal a significant decline in total toxic releases over three decades, reflecting improvements in environmental regulation and industrial practices. However, racial and income-based disparities in pollution exposure persist, with Hispanic communities experiencing increased clustering near hazardous sites, as demonstrated by Moran’s I spatial analysis. While urban centers such as Phoenix and Tempe saw reductions in pollution levels, suburban areas like Avondale and Goodyear emerged as new industrial hotspots. Additionally, the chemical composition of emissions has evolved from high-volume solvents in 1990 to </w:t>
            </w:r>
            <w:proofErr w:type="gramStart"/>
            <w:r>
              <w:t>lower-volume</w:t>
            </w:r>
            <w:proofErr w:type="gramEnd"/>
            <w:r>
              <w:t xml:space="preserve">, but potentially more </w:t>
            </w:r>
            <w:proofErr w:type="gramStart"/>
            <w:r>
              <w:t>toxic,</w:t>
            </w:r>
            <w:proofErr w:type="gramEnd"/>
            <w:r>
              <w:t xml:space="preserve"> pollutants in 2020. These results underscore the need for systemic policy interventions, including equitable zoning, stronger enforcement of environmental regulations, and community-driven urban planning, to address environmental inequities in Maricopa County.</w:t>
            </w:r>
          </w:p>
          <w:p w14:paraId="0C7E4DE4" w14:textId="77777777" w:rsidR="000465FC" w:rsidRDefault="0065012F" w:rsidP="000465FC">
            <w:pPr>
              <w:jc w:val="both"/>
              <w:rPr>
                <w:rFonts w:ascii="Arial" w:hAnsi="Arial" w:cs="Arial"/>
                <w:b/>
                <w:sz w:val="22"/>
                <w:szCs w:val="22"/>
              </w:rPr>
            </w:pPr>
            <w:r w:rsidRPr="0065012F">
              <w:rPr>
                <w:rFonts w:ascii="Arial" w:hAnsi="Arial" w:cs="Arial"/>
                <w:b/>
                <w:sz w:val="22"/>
                <w:szCs w:val="22"/>
              </w:rPr>
              <w:t>Introduction</w:t>
            </w:r>
          </w:p>
          <w:p w14:paraId="34805F2B" w14:textId="44ABC3AB" w:rsidR="000465FC" w:rsidRPr="000465FC" w:rsidRDefault="000465FC" w:rsidP="000465FC">
            <w:pPr>
              <w:jc w:val="both"/>
              <w:rPr>
                <w:rFonts w:ascii="Arial" w:hAnsi="Arial" w:cs="Arial"/>
                <w:b/>
                <w:sz w:val="22"/>
                <w:szCs w:val="22"/>
              </w:rPr>
            </w:pPr>
            <w:r>
              <w:t>Environmental justice remains a persistent concern in rapidly urbanizing regions. Maricopa County, Arizona, has undergone significant demographic and industrial changes over the last three decades. This study examines whether proximity to toxic facilities and pollution exposure remain disproportionately concentrated in low-income and minority communities despite overall reductions in toxic releases.</w:t>
            </w:r>
          </w:p>
          <w:p w14:paraId="4806BFDB" w14:textId="77777777" w:rsidR="0065012F" w:rsidRDefault="0065012F" w:rsidP="00706DED">
            <w:pPr>
              <w:jc w:val="both"/>
              <w:rPr>
                <w:rFonts w:ascii="Arial" w:hAnsi="Arial" w:cs="Arial"/>
                <w:b/>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62EDC826" w14:textId="77777777" w:rsidR="000465FC" w:rsidRDefault="000465FC" w:rsidP="000465FC">
            <w:pPr>
              <w:pStyle w:val="p1"/>
            </w:pPr>
            <w:r>
              <w:t>1.</w:t>
            </w:r>
            <w:r>
              <w:rPr>
                <w:rStyle w:val="apple-tab-span"/>
              </w:rPr>
              <w:t xml:space="preserve"> </w:t>
            </w:r>
            <w:r>
              <w:t>Assess changes in the spatial distribution of toxic facilities from 1990 to 2020.</w:t>
            </w:r>
          </w:p>
          <w:p w14:paraId="57243A50" w14:textId="77777777" w:rsidR="000465FC" w:rsidRDefault="000465FC" w:rsidP="000465FC">
            <w:pPr>
              <w:pStyle w:val="p1"/>
            </w:pPr>
            <w:r>
              <w:t>2.</w:t>
            </w:r>
            <w:r>
              <w:rPr>
                <w:rStyle w:val="apple-tab-span"/>
              </w:rPr>
              <w:t xml:space="preserve"> </w:t>
            </w:r>
            <w:r>
              <w:t>Examine demographic shifts in proximity to TRI sites, with a focus on race and income.</w:t>
            </w:r>
          </w:p>
          <w:p w14:paraId="23DDE71B" w14:textId="77777777" w:rsidR="000465FC" w:rsidRDefault="000465FC" w:rsidP="000465FC">
            <w:pPr>
              <w:pStyle w:val="p1"/>
            </w:pPr>
            <w:r>
              <w:t>3.</w:t>
            </w:r>
            <w:r>
              <w:rPr>
                <w:rStyle w:val="apple-tab-span"/>
              </w:rPr>
              <w:t xml:space="preserve"> </w:t>
            </w:r>
            <w:r>
              <w:t>Identify trends in pollution levels and chemical emissions.</w:t>
            </w:r>
          </w:p>
          <w:p w14:paraId="12F7BAB2" w14:textId="77777777" w:rsidR="000465FC" w:rsidRDefault="000465FC" w:rsidP="000465FC">
            <w:pPr>
              <w:pStyle w:val="p1"/>
            </w:pPr>
            <w:r>
              <w:t>4.</w:t>
            </w:r>
            <w:r>
              <w:rPr>
                <w:rStyle w:val="apple-tab-span"/>
              </w:rPr>
              <w:t xml:space="preserve"> </w:t>
            </w:r>
            <w:r>
              <w:t>Evaluate policy implications for equitable environmental planning.</w:t>
            </w:r>
          </w:p>
          <w:p w14:paraId="7DF7D437" w14:textId="77777777" w:rsidR="0065012F" w:rsidRDefault="0065012F"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66562372" w14:textId="77777777" w:rsidR="000465FC" w:rsidRDefault="000465FC" w:rsidP="000465FC">
            <w:pPr>
              <w:pStyle w:val="p1"/>
            </w:pPr>
            <w:r>
              <w:t>•</w:t>
            </w:r>
            <w:r>
              <w:rPr>
                <w:rStyle w:val="apple-tab-span"/>
              </w:rPr>
              <w:t xml:space="preserve"> </w:t>
            </w:r>
            <w:r>
              <w:rPr>
                <w:rStyle w:val="s1"/>
                <w:b/>
                <w:bCs/>
              </w:rPr>
              <w:t>Data Sources:</w:t>
            </w:r>
            <w:r>
              <w:t xml:space="preserve"> TRI facility data (EPA) and U.S. Census demographic data (1990, 2020).</w:t>
            </w:r>
          </w:p>
          <w:p w14:paraId="119AC02E" w14:textId="77777777" w:rsidR="000465FC" w:rsidRDefault="000465FC" w:rsidP="000465FC">
            <w:pPr>
              <w:pStyle w:val="p1"/>
            </w:pPr>
            <w:r>
              <w:t>•</w:t>
            </w:r>
            <w:r>
              <w:rPr>
                <w:rStyle w:val="apple-tab-span"/>
              </w:rPr>
              <w:t xml:space="preserve"> </w:t>
            </w:r>
            <w:r>
              <w:rPr>
                <w:rStyle w:val="s1"/>
                <w:b/>
                <w:bCs/>
              </w:rPr>
              <w:t>Spatial Analysis:</w:t>
            </w:r>
            <w:r>
              <w:t xml:space="preserve"> Moran’s I to assess clustering of pollution exposure among racial groups.</w:t>
            </w:r>
          </w:p>
          <w:p w14:paraId="78CB7089" w14:textId="77777777" w:rsidR="000465FC" w:rsidRDefault="000465FC" w:rsidP="000465FC">
            <w:pPr>
              <w:pStyle w:val="p1"/>
            </w:pPr>
            <w:r>
              <w:t>•</w:t>
            </w:r>
            <w:r>
              <w:rPr>
                <w:rStyle w:val="apple-tab-span"/>
              </w:rPr>
              <w:t xml:space="preserve"> </w:t>
            </w:r>
            <w:r>
              <w:rPr>
                <w:rStyle w:val="s1"/>
                <w:b/>
                <w:bCs/>
              </w:rPr>
              <w:t>Statistical Models:</w:t>
            </w:r>
            <w:r>
              <w:t xml:space="preserve"> Poisson regression to evaluate the relationship between facility distribution and socioeconomic variables.</w:t>
            </w:r>
          </w:p>
          <w:p w14:paraId="2FA93114" w14:textId="77777777" w:rsidR="000465FC" w:rsidRDefault="000465FC" w:rsidP="000465FC">
            <w:pPr>
              <w:pStyle w:val="p1"/>
            </w:pPr>
            <w:r>
              <w:t>•</w:t>
            </w:r>
            <w:r>
              <w:rPr>
                <w:rStyle w:val="apple-tab-span"/>
              </w:rPr>
              <w:t xml:space="preserve"> </w:t>
            </w:r>
            <w:r>
              <w:rPr>
                <w:rStyle w:val="s1"/>
                <w:b/>
                <w:bCs/>
              </w:rPr>
              <w:t>Comparative Analysis:</w:t>
            </w:r>
            <w:r>
              <w:t xml:space="preserve"> Changes in pollution levels and facility locations over time.</w:t>
            </w:r>
          </w:p>
          <w:p w14:paraId="015EFC6C" w14:textId="77777777" w:rsidR="0065012F" w:rsidRDefault="0065012F" w:rsidP="00706DED">
            <w:pPr>
              <w:jc w:val="both"/>
              <w:rPr>
                <w:rFonts w:ascii="Arial" w:hAnsi="Arial" w:cs="Arial"/>
                <w:b/>
                <w:sz w:val="22"/>
                <w:szCs w:val="22"/>
              </w:rPr>
            </w:pPr>
          </w:p>
          <w:p w14:paraId="24CC9974" w14:textId="77777777" w:rsidR="000465FC" w:rsidRDefault="000465FC" w:rsidP="00706DED">
            <w:pPr>
              <w:jc w:val="both"/>
              <w:rPr>
                <w:rFonts w:ascii="Arial" w:hAnsi="Arial" w:cs="Arial"/>
                <w:b/>
                <w:sz w:val="22"/>
                <w:szCs w:val="22"/>
              </w:rPr>
            </w:pPr>
          </w:p>
          <w:p w14:paraId="09EAE5F9" w14:textId="77777777" w:rsidR="000465FC" w:rsidRDefault="000465FC" w:rsidP="00706DED">
            <w:pPr>
              <w:jc w:val="both"/>
              <w:rPr>
                <w:rFonts w:ascii="Arial" w:hAnsi="Arial" w:cs="Arial"/>
                <w:b/>
                <w:sz w:val="22"/>
                <w:szCs w:val="22"/>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lastRenderedPageBreak/>
              <w:t>F</w:t>
            </w:r>
            <w:r w:rsidRPr="0065012F">
              <w:rPr>
                <w:rFonts w:ascii="Arial" w:hAnsi="Arial" w:cs="Arial"/>
                <w:b/>
                <w:sz w:val="22"/>
                <w:szCs w:val="22"/>
              </w:rPr>
              <w:t>inding</w:t>
            </w:r>
            <w:r>
              <w:rPr>
                <w:rFonts w:ascii="Arial" w:hAnsi="Arial" w:cs="Arial"/>
                <w:b/>
                <w:sz w:val="22"/>
                <w:szCs w:val="22"/>
              </w:rPr>
              <w:t>s</w:t>
            </w:r>
          </w:p>
          <w:p w14:paraId="26DC99F1" w14:textId="77777777" w:rsidR="0065012F" w:rsidRDefault="0065012F" w:rsidP="00706DED">
            <w:pPr>
              <w:jc w:val="both"/>
              <w:rPr>
                <w:rFonts w:ascii="Arial" w:hAnsi="Arial" w:cs="Arial"/>
                <w:b/>
                <w:sz w:val="22"/>
                <w:szCs w:val="22"/>
              </w:rPr>
            </w:pPr>
          </w:p>
          <w:p w14:paraId="7429B0D7" w14:textId="77777777" w:rsidR="000465FC" w:rsidRDefault="000465FC" w:rsidP="000465FC">
            <w:pPr>
              <w:pStyle w:val="p1"/>
            </w:pPr>
            <w:r>
              <w:rPr>
                <w:rStyle w:val="s1"/>
              </w:rPr>
              <w:t>1.</w:t>
            </w:r>
            <w:r>
              <w:rPr>
                <w:rStyle w:val="apple-tab-span"/>
              </w:rPr>
              <w:t xml:space="preserve"> </w:t>
            </w:r>
            <w:r>
              <w:rPr>
                <w:b/>
                <w:bCs/>
              </w:rPr>
              <w:t>Spatial Trends:</w:t>
            </w:r>
          </w:p>
          <w:p w14:paraId="7E721619" w14:textId="77777777" w:rsidR="000465FC" w:rsidRDefault="000465FC" w:rsidP="000465FC">
            <w:pPr>
              <w:pStyle w:val="p2"/>
            </w:pPr>
            <w:r>
              <w:t>•</w:t>
            </w:r>
            <w:r>
              <w:rPr>
                <w:rStyle w:val="apple-tab-span"/>
              </w:rPr>
              <w:t xml:space="preserve"> </w:t>
            </w:r>
            <w:r>
              <w:t>A decline in total toxic releases, but a westward shift in pollution hotspots toward suburban areas.</w:t>
            </w:r>
          </w:p>
          <w:p w14:paraId="79C6AFCB" w14:textId="77777777" w:rsidR="000465FC" w:rsidRDefault="000465FC" w:rsidP="000465FC">
            <w:pPr>
              <w:pStyle w:val="p2"/>
            </w:pPr>
            <w:r>
              <w:t>•</w:t>
            </w:r>
            <w:r>
              <w:rPr>
                <w:rStyle w:val="apple-tab-span"/>
              </w:rPr>
              <w:t xml:space="preserve"> </w:t>
            </w:r>
            <w:r>
              <w:t>Increased clustering of Hispanic communities near TRI sites from 1990 to 2020.</w:t>
            </w:r>
          </w:p>
          <w:p w14:paraId="5653028B" w14:textId="77777777" w:rsidR="000465FC" w:rsidRDefault="000465FC" w:rsidP="000465FC">
            <w:pPr>
              <w:pStyle w:val="p1"/>
            </w:pPr>
            <w:r>
              <w:rPr>
                <w:rStyle w:val="s1"/>
              </w:rPr>
              <w:t>2.</w:t>
            </w:r>
            <w:r>
              <w:rPr>
                <w:rStyle w:val="apple-tab-span"/>
              </w:rPr>
              <w:t xml:space="preserve"> </w:t>
            </w:r>
            <w:r>
              <w:rPr>
                <w:b/>
                <w:bCs/>
              </w:rPr>
              <w:t>Demographic Patterns:</w:t>
            </w:r>
          </w:p>
          <w:p w14:paraId="49957BD1" w14:textId="77777777" w:rsidR="000465FC" w:rsidRDefault="000465FC" w:rsidP="000465FC">
            <w:pPr>
              <w:pStyle w:val="p2"/>
            </w:pPr>
            <w:r>
              <w:t>•</w:t>
            </w:r>
            <w:r>
              <w:rPr>
                <w:rStyle w:val="apple-tab-span"/>
              </w:rPr>
              <w:t xml:space="preserve"> </w:t>
            </w:r>
            <w:r>
              <w:t>Persistent racial and economic disparities in pollution exposure.</w:t>
            </w:r>
          </w:p>
          <w:p w14:paraId="06BBDB4B" w14:textId="77777777" w:rsidR="000465FC" w:rsidRDefault="000465FC" w:rsidP="000465FC">
            <w:pPr>
              <w:pStyle w:val="p2"/>
            </w:pPr>
            <w:r>
              <w:t>•</w:t>
            </w:r>
            <w:r>
              <w:rPr>
                <w:rStyle w:val="apple-tab-span"/>
              </w:rPr>
              <w:t xml:space="preserve"> </w:t>
            </w:r>
            <w:r>
              <w:t>Census tracts with lower median incomes remain overrepresented near high-emission facilities.</w:t>
            </w:r>
          </w:p>
          <w:p w14:paraId="6FD881F8" w14:textId="77777777" w:rsidR="000465FC" w:rsidRDefault="000465FC" w:rsidP="000465FC">
            <w:pPr>
              <w:pStyle w:val="p1"/>
            </w:pPr>
            <w:r>
              <w:rPr>
                <w:rStyle w:val="s1"/>
              </w:rPr>
              <w:t>3.</w:t>
            </w:r>
            <w:r>
              <w:rPr>
                <w:rStyle w:val="apple-tab-span"/>
              </w:rPr>
              <w:t xml:space="preserve"> </w:t>
            </w:r>
            <w:r>
              <w:rPr>
                <w:b/>
                <w:bCs/>
              </w:rPr>
              <w:t>Industrial Impact:</w:t>
            </w:r>
          </w:p>
          <w:p w14:paraId="5FFEE9FF" w14:textId="77777777" w:rsidR="000465FC" w:rsidRDefault="000465FC" w:rsidP="000465FC">
            <w:pPr>
              <w:pStyle w:val="p2"/>
            </w:pPr>
            <w:r>
              <w:t>•</w:t>
            </w:r>
            <w:r>
              <w:rPr>
                <w:rStyle w:val="apple-tab-span"/>
              </w:rPr>
              <w:t xml:space="preserve"> </w:t>
            </w:r>
            <w:r>
              <w:t>A small number of facilities, such as Intel Corporation and Belden Communications Division, account for a significant share of emissions.</w:t>
            </w:r>
          </w:p>
          <w:p w14:paraId="5163D2D9" w14:textId="77777777" w:rsidR="000465FC" w:rsidRDefault="000465FC" w:rsidP="000465FC">
            <w:pPr>
              <w:pStyle w:val="p2"/>
            </w:pPr>
            <w:r>
              <w:t>•</w:t>
            </w:r>
            <w:r>
              <w:rPr>
                <w:rStyle w:val="apple-tab-span"/>
              </w:rPr>
              <w:t xml:space="preserve"> </w:t>
            </w:r>
            <w:r>
              <w:t>A transition from high-volume, single-chemical releases to a more diverse chemical profile with potentially greater long-term health risks.</w:t>
            </w:r>
          </w:p>
          <w:p w14:paraId="439512C6" w14:textId="77777777" w:rsidR="000465FC" w:rsidRDefault="000465FC" w:rsidP="00706DED">
            <w:pPr>
              <w:jc w:val="both"/>
              <w:rPr>
                <w:rFonts w:ascii="Arial" w:hAnsi="Arial" w:cs="Arial"/>
                <w:b/>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43CB2428" w14:textId="77777777" w:rsidR="00BE58D6" w:rsidRDefault="00BE58D6" w:rsidP="00706DED">
            <w:pPr>
              <w:jc w:val="both"/>
              <w:rPr>
                <w:rFonts w:ascii="Arial" w:hAnsi="Arial" w:cs="Arial"/>
                <w:b/>
                <w:sz w:val="22"/>
                <w:szCs w:val="22"/>
              </w:rPr>
            </w:pPr>
          </w:p>
          <w:p w14:paraId="1EDBB2F4" w14:textId="77777777" w:rsidR="000465FC" w:rsidRDefault="000465FC" w:rsidP="000465FC">
            <w:pPr>
              <w:pStyle w:val="p1"/>
            </w:pPr>
            <w:r>
              <w:t>•</w:t>
            </w:r>
            <w:r>
              <w:rPr>
                <w:rStyle w:val="apple-tab-span"/>
              </w:rPr>
              <w:t xml:space="preserve"> </w:t>
            </w:r>
            <w:r>
              <w:t>Highlights ongoing environmental injustices despite regulatory improvements.</w:t>
            </w:r>
          </w:p>
          <w:p w14:paraId="6D6D0A10" w14:textId="77777777" w:rsidR="000465FC" w:rsidRDefault="000465FC" w:rsidP="000465FC">
            <w:pPr>
              <w:pStyle w:val="p1"/>
            </w:pPr>
            <w:r>
              <w:t>•</w:t>
            </w:r>
            <w:r>
              <w:rPr>
                <w:rStyle w:val="apple-tab-span"/>
              </w:rPr>
              <w:t xml:space="preserve"> </w:t>
            </w:r>
            <w:r>
              <w:t>Supports stronger zoning and land-use reforms to prevent the disproportionate placement of hazardous facilities in marginalized communities.</w:t>
            </w:r>
          </w:p>
          <w:p w14:paraId="0B27F656" w14:textId="77777777" w:rsidR="000465FC" w:rsidRDefault="000465FC" w:rsidP="000465FC">
            <w:pPr>
              <w:pStyle w:val="p1"/>
            </w:pPr>
            <w:r>
              <w:t>•</w:t>
            </w:r>
            <w:r>
              <w:rPr>
                <w:rStyle w:val="apple-tab-span"/>
              </w:rPr>
              <w:t xml:space="preserve"> </w:t>
            </w:r>
            <w:r>
              <w:t>Calls for increased community engagement in urban and industrial planning.</w:t>
            </w:r>
          </w:p>
          <w:p w14:paraId="1A078683" w14:textId="77D8B9BB" w:rsidR="00BE58D6" w:rsidRPr="006421A7" w:rsidRDefault="000465FC" w:rsidP="006421A7">
            <w:pPr>
              <w:pStyle w:val="p1"/>
            </w:pPr>
            <w:r>
              <w:t>•</w:t>
            </w:r>
            <w:r>
              <w:rPr>
                <w:rStyle w:val="apple-tab-span"/>
              </w:rPr>
              <w:t xml:space="preserve"> </w:t>
            </w:r>
            <w:r>
              <w:t>Provides empirical evidence for targeted environmental health interventions in newly affected suburban regions.</w:t>
            </w: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0465FC"/>
    <w:rsid w:val="00105E39"/>
    <w:rsid w:val="00132AE5"/>
    <w:rsid w:val="00155315"/>
    <w:rsid w:val="002208F8"/>
    <w:rsid w:val="00247C60"/>
    <w:rsid w:val="00256963"/>
    <w:rsid w:val="00294015"/>
    <w:rsid w:val="002E3AA3"/>
    <w:rsid w:val="002F405A"/>
    <w:rsid w:val="00317356"/>
    <w:rsid w:val="0034503D"/>
    <w:rsid w:val="00354C31"/>
    <w:rsid w:val="00375B20"/>
    <w:rsid w:val="00386D01"/>
    <w:rsid w:val="003E7D89"/>
    <w:rsid w:val="004049E7"/>
    <w:rsid w:val="00462B90"/>
    <w:rsid w:val="004828A0"/>
    <w:rsid w:val="004B69C7"/>
    <w:rsid w:val="004D193B"/>
    <w:rsid w:val="004F4CE8"/>
    <w:rsid w:val="004F5C81"/>
    <w:rsid w:val="0053222C"/>
    <w:rsid w:val="005469BD"/>
    <w:rsid w:val="00550B17"/>
    <w:rsid w:val="005854B8"/>
    <w:rsid w:val="006421A7"/>
    <w:rsid w:val="0065012F"/>
    <w:rsid w:val="0068043B"/>
    <w:rsid w:val="00681CA7"/>
    <w:rsid w:val="00751188"/>
    <w:rsid w:val="008235E8"/>
    <w:rsid w:val="008773DF"/>
    <w:rsid w:val="008B01BA"/>
    <w:rsid w:val="008B50A0"/>
    <w:rsid w:val="008C0C35"/>
    <w:rsid w:val="008C22AD"/>
    <w:rsid w:val="008C2633"/>
    <w:rsid w:val="008E3D8D"/>
    <w:rsid w:val="008F2F93"/>
    <w:rsid w:val="009010B0"/>
    <w:rsid w:val="00906B39"/>
    <w:rsid w:val="00963443"/>
    <w:rsid w:val="009C374A"/>
    <w:rsid w:val="009F4EA0"/>
    <w:rsid w:val="00B026E8"/>
    <w:rsid w:val="00BA0872"/>
    <w:rsid w:val="00BA26BB"/>
    <w:rsid w:val="00BC6810"/>
    <w:rsid w:val="00BE0B4D"/>
    <w:rsid w:val="00BE58D6"/>
    <w:rsid w:val="00C26081"/>
    <w:rsid w:val="00C4126D"/>
    <w:rsid w:val="00C76C99"/>
    <w:rsid w:val="00C8423A"/>
    <w:rsid w:val="00CE53FE"/>
    <w:rsid w:val="00D716AD"/>
    <w:rsid w:val="00DB7929"/>
    <w:rsid w:val="00DD1BB3"/>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customStyle="1" w:styleId="p1">
    <w:name w:val="p1"/>
    <w:basedOn w:val="Normal"/>
    <w:rsid w:val="000465FC"/>
    <w:pPr>
      <w:spacing w:before="100" w:beforeAutospacing="1" w:after="100" w:afterAutospacing="1"/>
    </w:pPr>
    <w:rPr>
      <w:rFonts w:ascii="Times New Roman" w:eastAsia="Times New Roman" w:hAnsi="Times New Roman" w:cs="Times New Roman"/>
      <w:lang w:val="en-US" w:eastAsia="en-US"/>
    </w:rPr>
  </w:style>
  <w:style w:type="character" w:customStyle="1" w:styleId="apple-tab-span">
    <w:name w:val="apple-tab-span"/>
    <w:basedOn w:val="DefaultParagraphFont"/>
    <w:rsid w:val="000465FC"/>
  </w:style>
  <w:style w:type="character" w:customStyle="1" w:styleId="s1">
    <w:name w:val="s1"/>
    <w:basedOn w:val="DefaultParagraphFont"/>
    <w:rsid w:val="000465FC"/>
  </w:style>
  <w:style w:type="paragraph" w:customStyle="1" w:styleId="p2">
    <w:name w:val="p2"/>
    <w:basedOn w:val="Normal"/>
    <w:rsid w:val="000465FC"/>
    <w:pPr>
      <w:spacing w:before="100" w:beforeAutospacing="1" w:after="100" w:afterAutospacing="1"/>
    </w:pPr>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23359">
      <w:bodyDiv w:val="1"/>
      <w:marLeft w:val="0"/>
      <w:marRight w:val="0"/>
      <w:marTop w:val="0"/>
      <w:marBottom w:val="0"/>
      <w:divBdr>
        <w:top w:val="none" w:sz="0" w:space="0" w:color="auto"/>
        <w:left w:val="none" w:sz="0" w:space="0" w:color="auto"/>
        <w:bottom w:val="none" w:sz="0" w:space="0" w:color="auto"/>
        <w:right w:val="none" w:sz="0" w:space="0" w:color="auto"/>
      </w:divBdr>
    </w:div>
    <w:div w:id="343559987">
      <w:bodyDiv w:val="1"/>
      <w:marLeft w:val="0"/>
      <w:marRight w:val="0"/>
      <w:marTop w:val="0"/>
      <w:marBottom w:val="0"/>
      <w:divBdr>
        <w:top w:val="none" w:sz="0" w:space="0" w:color="auto"/>
        <w:left w:val="none" w:sz="0" w:space="0" w:color="auto"/>
        <w:bottom w:val="none" w:sz="0" w:space="0" w:color="auto"/>
        <w:right w:val="none" w:sz="0" w:space="0" w:color="auto"/>
      </w:divBdr>
    </w:div>
    <w:div w:id="67688457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446735698">
      <w:bodyDiv w:val="1"/>
      <w:marLeft w:val="0"/>
      <w:marRight w:val="0"/>
      <w:marTop w:val="0"/>
      <w:marBottom w:val="0"/>
      <w:divBdr>
        <w:top w:val="none" w:sz="0" w:space="0" w:color="auto"/>
        <w:left w:val="none" w:sz="0" w:space="0" w:color="auto"/>
        <w:bottom w:val="none" w:sz="0" w:space="0" w:color="auto"/>
        <w:right w:val="none" w:sz="0" w:space="0" w:color="auto"/>
      </w:divBdr>
    </w:div>
    <w:div w:id="1496914468">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 w:id="1616476352">
      <w:bodyDiv w:val="1"/>
      <w:marLeft w:val="0"/>
      <w:marRight w:val="0"/>
      <w:marTop w:val="0"/>
      <w:marBottom w:val="0"/>
      <w:divBdr>
        <w:top w:val="none" w:sz="0" w:space="0" w:color="auto"/>
        <w:left w:val="none" w:sz="0" w:space="0" w:color="auto"/>
        <w:bottom w:val="none" w:sz="0" w:space="0" w:color="auto"/>
        <w:right w:val="none" w:sz="0" w:space="0" w:color="auto"/>
      </w:divBdr>
    </w:div>
    <w:div w:id="166535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ffd3fbda9da9b847dae720d7a17716ff">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a853da1d2a0a1f1bf4f12f247e460e6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F0D8A112-5119-4698-8049-148222535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560</Words>
  <Characters>3192</Characters>
  <Application>Microsoft Office Word</Application>
  <DocSecurity>0</DocSecurity>
  <Lines>26</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cp:revision>
  <cp:lastPrinted>2025-02-20T03:34:00Z</cp:lastPrinted>
  <dcterms:created xsi:type="dcterms:W3CDTF">2025-02-20T03:34:00Z</dcterms:created>
  <dcterms:modified xsi:type="dcterms:W3CDTF">2025-08-19T00:00:00Z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