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DA13" w14:textId="5668BAB2" w:rsidR="00910DE0" w:rsidRPr="00910DE0" w:rsidRDefault="00910DE0" w:rsidP="00910DE0">
      <w:pPr>
        <w:rPr>
          <w:rFonts w:ascii="Calibri" w:hAnsi="Calibri" w:cs="Calibri"/>
          <w:i/>
          <w:iCs/>
          <w:sz w:val="22"/>
          <w:szCs w:val="22"/>
        </w:rPr>
      </w:pPr>
      <w:r w:rsidRPr="00910DE0">
        <w:rPr>
          <w:rFonts w:ascii="Calibri" w:hAnsi="Calibri" w:cs="Calibri"/>
          <w:i/>
          <w:iCs/>
          <w:sz w:val="22"/>
          <w:szCs w:val="22"/>
        </w:rPr>
        <w:t>Paper</w:t>
      </w:r>
    </w:p>
    <w:p w14:paraId="78421B8B" w14:textId="6F1181DC" w:rsidR="009F1292" w:rsidRPr="009F1292" w:rsidRDefault="009F1292" w:rsidP="00910DE0">
      <w:pPr>
        <w:rPr>
          <w:rFonts w:ascii="Calibri" w:hAnsi="Calibri" w:cs="Calibri"/>
          <w:b/>
          <w:bCs/>
          <w:sz w:val="22"/>
          <w:szCs w:val="22"/>
        </w:rPr>
      </w:pPr>
      <w:r w:rsidRPr="009F1292">
        <w:rPr>
          <w:rFonts w:ascii="Calibri" w:hAnsi="Calibri" w:cs="Calibri"/>
          <w:b/>
          <w:bCs/>
          <w:sz w:val="22"/>
          <w:szCs w:val="22"/>
        </w:rPr>
        <w:t>Examining Opportunities and Challenges for Implementing Land-Based Financing Instruments for Funding Climate Action: A Study of Land Markets and Flood Risk Pricing in Different Contexts</w:t>
      </w:r>
    </w:p>
    <w:p w14:paraId="1B278C40" w14:textId="77777777" w:rsidR="009F1292" w:rsidRDefault="009F1292" w:rsidP="009F1292">
      <w:pPr>
        <w:rPr>
          <w:b/>
          <w:bCs/>
        </w:rPr>
      </w:pPr>
    </w:p>
    <w:p w14:paraId="573C2454" w14:textId="77777777" w:rsidR="009F1292" w:rsidRPr="009F1292" w:rsidRDefault="009F1292" w:rsidP="009F1292">
      <w:pPr>
        <w:rPr>
          <w:rFonts w:ascii="Calibri" w:hAnsi="Calibri" w:cs="Calibri"/>
          <w:sz w:val="22"/>
          <w:szCs w:val="22"/>
        </w:rPr>
      </w:pPr>
      <w:r w:rsidRPr="009F1292">
        <w:rPr>
          <w:rFonts w:ascii="Calibri" w:hAnsi="Calibri" w:cs="Calibri"/>
          <w:b/>
          <w:bCs/>
          <w:sz w:val="22"/>
          <w:szCs w:val="22"/>
        </w:rPr>
        <w:t>Introduction</w:t>
      </w:r>
    </w:p>
    <w:p w14:paraId="394A8362" w14:textId="77777777" w:rsidR="009F1292" w:rsidRPr="009F1292" w:rsidRDefault="009F1292" w:rsidP="009F1292">
      <w:pPr>
        <w:rPr>
          <w:rFonts w:ascii="Calibri" w:hAnsi="Calibri" w:cs="Calibri"/>
          <w:sz w:val="22"/>
          <w:szCs w:val="22"/>
        </w:rPr>
      </w:pPr>
      <w:r w:rsidRPr="009F1292">
        <w:rPr>
          <w:rFonts w:ascii="Calibri" w:hAnsi="Calibri" w:cs="Calibri"/>
          <w:sz w:val="22"/>
          <w:szCs w:val="22"/>
        </w:rPr>
        <w:t>Climate change is significantly impacting urban areas globally through increased flooding, sea level rise, and extreme weather events. These risks are increasingly affecting land and real estate markets, yet they are often inaccurately priced or undervalued. As cities face growing adaptation needs but limited financial resources, land-based financing (LBF) instruments emerge as potential solutions to fund climate adaptation measures. However, effective implementation depends largely on how efficiently land markets price climate risks, particularly in diverse urban contexts with varying institutional capacities and socioeconomic conditions.</w:t>
      </w:r>
    </w:p>
    <w:p w14:paraId="7A9F0A69" w14:textId="77777777" w:rsidR="009F1292" w:rsidRPr="009F1292" w:rsidRDefault="009F1292" w:rsidP="009F1292">
      <w:pPr>
        <w:rPr>
          <w:rFonts w:ascii="Calibri" w:hAnsi="Calibri" w:cs="Calibri"/>
          <w:sz w:val="22"/>
          <w:szCs w:val="22"/>
        </w:rPr>
      </w:pPr>
      <w:r w:rsidRPr="009F1292">
        <w:rPr>
          <w:rFonts w:ascii="Calibri" w:hAnsi="Calibri" w:cs="Calibri"/>
          <w:b/>
          <w:bCs/>
          <w:sz w:val="22"/>
          <w:szCs w:val="22"/>
        </w:rPr>
        <w:t>Objectives</w:t>
      </w:r>
    </w:p>
    <w:p w14:paraId="425F46BF" w14:textId="77777777" w:rsidR="009F1292" w:rsidRPr="009F1292" w:rsidRDefault="009F1292" w:rsidP="009F1292">
      <w:pPr>
        <w:rPr>
          <w:rFonts w:ascii="Calibri" w:hAnsi="Calibri" w:cs="Calibri"/>
          <w:sz w:val="22"/>
          <w:szCs w:val="22"/>
        </w:rPr>
      </w:pPr>
      <w:r w:rsidRPr="009F1292">
        <w:rPr>
          <w:rFonts w:ascii="Calibri" w:hAnsi="Calibri" w:cs="Calibri"/>
          <w:sz w:val="22"/>
          <w:szCs w:val="22"/>
        </w:rPr>
        <w:t>This research aims to: (1) examine how flood risks are priced across different urban land markets and identify factors influencing efficient risk integration into property valuations; (2) analyze equity implications of incomplete risk pricing for vulnerable populations and municipalities dependent on property taxes; (3) investigate how information transparency, land use policies, and mortgage/insurance market dynamics influence land markets and LBF feasibility; (4) evaluate behavioral and cognitive biases impacting accurate flood risk pricing across different urban environments; and (5) identify risk management strategies and assess LBF-financed adaptation measures in diverse settings.</w:t>
      </w:r>
    </w:p>
    <w:p w14:paraId="5C29D6BD" w14:textId="77777777" w:rsidR="009F1292" w:rsidRPr="009F1292" w:rsidRDefault="009F1292" w:rsidP="009F1292">
      <w:pPr>
        <w:rPr>
          <w:rFonts w:ascii="Calibri" w:hAnsi="Calibri" w:cs="Calibri"/>
          <w:sz w:val="22"/>
          <w:szCs w:val="22"/>
        </w:rPr>
      </w:pPr>
      <w:r w:rsidRPr="009F1292">
        <w:rPr>
          <w:rFonts w:ascii="Calibri" w:hAnsi="Calibri" w:cs="Calibri"/>
          <w:b/>
          <w:bCs/>
          <w:sz w:val="22"/>
          <w:szCs w:val="22"/>
        </w:rPr>
        <w:t>Methodology</w:t>
      </w:r>
    </w:p>
    <w:p w14:paraId="4C200A32" w14:textId="77777777" w:rsidR="009F1292" w:rsidRPr="009F1292" w:rsidRDefault="009F1292" w:rsidP="009F1292">
      <w:pPr>
        <w:rPr>
          <w:rFonts w:ascii="Calibri" w:hAnsi="Calibri" w:cs="Calibri"/>
          <w:sz w:val="22"/>
          <w:szCs w:val="22"/>
        </w:rPr>
      </w:pPr>
      <w:r w:rsidRPr="009F1292">
        <w:rPr>
          <w:rFonts w:ascii="Calibri" w:hAnsi="Calibri" w:cs="Calibri"/>
          <w:sz w:val="22"/>
          <w:szCs w:val="22"/>
        </w:rPr>
        <w:t>The study employs a mixed-methods approach combining comprehensive literature review on climate risk pricing in real estate markets with comparative case study analysis of five cities with distinct risk profiles and institutional frameworks: Miami, Lagos, Ho Chi Minh City, Copenhagen, and Buenos Aires. The research assesses various land-based financing instruments and their potential application for climate adaptation while analyzing behavioral factors, market dynamics, and institutional frameworks that influence risk pricing and adaptation financing decisions.</w:t>
      </w:r>
    </w:p>
    <w:p w14:paraId="0433EB79" w14:textId="77777777" w:rsidR="009F1292" w:rsidRPr="009F1292" w:rsidRDefault="009F1292" w:rsidP="009F1292">
      <w:pPr>
        <w:rPr>
          <w:rFonts w:ascii="Calibri" w:hAnsi="Calibri" w:cs="Calibri"/>
          <w:sz w:val="22"/>
          <w:szCs w:val="22"/>
        </w:rPr>
      </w:pPr>
      <w:r w:rsidRPr="009F1292">
        <w:rPr>
          <w:rFonts w:ascii="Calibri" w:hAnsi="Calibri" w:cs="Calibri"/>
          <w:b/>
          <w:bCs/>
          <w:sz w:val="22"/>
          <w:szCs w:val="22"/>
        </w:rPr>
        <w:t>Findings</w:t>
      </w:r>
    </w:p>
    <w:p w14:paraId="56DD2320" w14:textId="77777777" w:rsidR="009F1292" w:rsidRPr="009F1292" w:rsidRDefault="009F1292" w:rsidP="009F1292">
      <w:pPr>
        <w:rPr>
          <w:rFonts w:ascii="Calibri" w:hAnsi="Calibri" w:cs="Calibri"/>
          <w:sz w:val="22"/>
          <w:szCs w:val="22"/>
        </w:rPr>
      </w:pPr>
      <w:r w:rsidRPr="009F1292">
        <w:rPr>
          <w:rFonts w:ascii="Calibri" w:hAnsi="Calibri" w:cs="Calibri"/>
          <w:sz w:val="22"/>
          <w:szCs w:val="22"/>
        </w:rPr>
        <w:t xml:space="preserve">The research reveals significant variations in climate risk pricing across urban contexts. Cities with strong information transparency and regulatory frameworks (e.g., Copenhagen) demonstrate more accurate risk pricing, with properties in flood-prone areas experiencing substantial discounts. Conversely, cities with weaker information systems and regulatory frameworks (e.g., Lagos, Miami) often show inadequate risk pricing, leading to property overvaluation in high-risk areas. Key factors influencing risk pricing include information asymmetry, risk disclosure regulations, insurance and mortgage market dynamics, behavioral biases, land use regulations, and social vulnerability. LBF instruments show significant </w:t>
      </w:r>
      <w:r w:rsidRPr="009F1292">
        <w:rPr>
          <w:rFonts w:ascii="Calibri" w:hAnsi="Calibri" w:cs="Calibri"/>
          <w:sz w:val="22"/>
          <w:szCs w:val="22"/>
        </w:rPr>
        <w:lastRenderedPageBreak/>
        <w:t>potential for funding adaptation investments when they align costs and benefits locally, capture value created by adaptation investments, engage key stakeholders, and are tailored to specific urban contexts.</w:t>
      </w:r>
    </w:p>
    <w:p w14:paraId="7C9955DE" w14:textId="77777777" w:rsidR="009F1292" w:rsidRPr="009F1292" w:rsidRDefault="009F1292" w:rsidP="009F1292">
      <w:pPr>
        <w:rPr>
          <w:rFonts w:ascii="Calibri" w:hAnsi="Calibri" w:cs="Calibri"/>
          <w:sz w:val="22"/>
          <w:szCs w:val="22"/>
        </w:rPr>
      </w:pPr>
      <w:r w:rsidRPr="009F1292">
        <w:rPr>
          <w:rFonts w:ascii="Calibri" w:hAnsi="Calibri" w:cs="Calibri"/>
          <w:b/>
          <w:bCs/>
          <w:sz w:val="22"/>
          <w:szCs w:val="22"/>
        </w:rPr>
        <w:t>Significance of the work for policy and practice</w:t>
      </w:r>
    </w:p>
    <w:p w14:paraId="21801E49" w14:textId="77777777" w:rsidR="009F1292" w:rsidRPr="009F1292" w:rsidRDefault="009F1292" w:rsidP="009F1292">
      <w:pPr>
        <w:rPr>
          <w:rFonts w:ascii="Calibri" w:hAnsi="Calibri" w:cs="Calibri"/>
          <w:sz w:val="22"/>
          <w:szCs w:val="22"/>
        </w:rPr>
      </w:pPr>
      <w:r w:rsidRPr="009F1292">
        <w:rPr>
          <w:rFonts w:ascii="Calibri" w:hAnsi="Calibri" w:cs="Calibri"/>
          <w:sz w:val="22"/>
          <w:szCs w:val="22"/>
        </w:rPr>
        <w:t>This research provides valuable insights for policymakers, urban planners, and financial institutions seeking to address climate risks through innovative financing mechanisms. By understanding how land markets respond to climate risks and what factors influence risk pricing, stakeholders can develop more effective strategies for implementing land-based financing instruments to fund adaptation measures. The comparative analysis across diverse urban contexts offers transferable lessons for cities worldwide, helping to bridge the adaptation finance gap while promoting more resilient and sustainable urban development. The findings support the development of targeted policy interventions to improve risk information transparency, strengthen regulatory frameworks, and design context-appropriate LBF instruments that can generate substantial resources for urban climate resilience.</w:t>
      </w:r>
    </w:p>
    <w:p w14:paraId="155F782A" w14:textId="77777777" w:rsidR="00691AEE" w:rsidRDefault="00691AEE"/>
    <w:sectPr w:rsidR="0069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92"/>
    <w:rsid w:val="003F5FA3"/>
    <w:rsid w:val="00691AEE"/>
    <w:rsid w:val="006E6B7B"/>
    <w:rsid w:val="00885B16"/>
    <w:rsid w:val="00910DE0"/>
    <w:rsid w:val="00917456"/>
    <w:rsid w:val="0097208D"/>
    <w:rsid w:val="009F1292"/>
    <w:rsid w:val="00A1060B"/>
    <w:rsid w:val="00B258D3"/>
    <w:rsid w:val="00C405D2"/>
    <w:rsid w:val="00CD050E"/>
    <w:rsid w:val="00CE1344"/>
    <w:rsid w:val="00F5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8DD4"/>
  <w15:chartTrackingRefBased/>
  <w15:docId w15:val="{94C24FC5-0AB8-C941-A3BC-6C791A65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292"/>
    <w:rPr>
      <w:rFonts w:eastAsiaTheme="majorEastAsia" w:cstheme="majorBidi"/>
      <w:color w:val="272727" w:themeColor="text1" w:themeTint="D8"/>
    </w:rPr>
  </w:style>
  <w:style w:type="paragraph" w:styleId="Title">
    <w:name w:val="Title"/>
    <w:basedOn w:val="Normal"/>
    <w:next w:val="Normal"/>
    <w:link w:val="TitleChar"/>
    <w:uiPriority w:val="10"/>
    <w:qFormat/>
    <w:rsid w:val="009F1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292"/>
    <w:pPr>
      <w:spacing w:before="160"/>
      <w:jc w:val="center"/>
    </w:pPr>
    <w:rPr>
      <w:i/>
      <w:iCs/>
      <w:color w:val="404040" w:themeColor="text1" w:themeTint="BF"/>
    </w:rPr>
  </w:style>
  <w:style w:type="character" w:customStyle="1" w:styleId="QuoteChar">
    <w:name w:val="Quote Char"/>
    <w:basedOn w:val="DefaultParagraphFont"/>
    <w:link w:val="Quote"/>
    <w:uiPriority w:val="29"/>
    <w:rsid w:val="009F1292"/>
    <w:rPr>
      <w:i/>
      <w:iCs/>
      <w:color w:val="404040" w:themeColor="text1" w:themeTint="BF"/>
    </w:rPr>
  </w:style>
  <w:style w:type="paragraph" w:styleId="ListParagraph">
    <w:name w:val="List Paragraph"/>
    <w:basedOn w:val="Normal"/>
    <w:uiPriority w:val="34"/>
    <w:qFormat/>
    <w:rsid w:val="009F1292"/>
    <w:pPr>
      <w:ind w:left="720"/>
      <w:contextualSpacing/>
    </w:pPr>
  </w:style>
  <w:style w:type="character" w:styleId="IntenseEmphasis">
    <w:name w:val="Intense Emphasis"/>
    <w:basedOn w:val="DefaultParagraphFont"/>
    <w:uiPriority w:val="21"/>
    <w:qFormat/>
    <w:rsid w:val="009F1292"/>
    <w:rPr>
      <w:i/>
      <w:iCs/>
      <w:color w:val="0F4761" w:themeColor="accent1" w:themeShade="BF"/>
    </w:rPr>
  </w:style>
  <w:style w:type="paragraph" w:styleId="IntenseQuote">
    <w:name w:val="Intense Quote"/>
    <w:basedOn w:val="Normal"/>
    <w:next w:val="Normal"/>
    <w:link w:val="IntenseQuoteChar"/>
    <w:uiPriority w:val="30"/>
    <w:qFormat/>
    <w:rsid w:val="009F1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292"/>
    <w:rPr>
      <w:i/>
      <w:iCs/>
      <w:color w:val="0F4761" w:themeColor="accent1" w:themeShade="BF"/>
    </w:rPr>
  </w:style>
  <w:style w:type="character" w:styleId="IntenseReference">
    <w:name w:val="Intense Reference"/>
    <w:basedOn w:val="DefaultParagraphFont"/>
    <w:uiPriority w:val="32"/>
    <w:qFormat/>
    <w:rsid w:val="009F1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5326">
      <w:bodyDiv w:val="1"/>
      <w:marLeft w:val="0"/>
      <w:marRight w:val="0"/>
      <w:marTop w:val="0"/>
      <w:marBottom w:val="0"/>
      <w:divBdr>
        <w:top w:val="none" w:sz="0" w:space="0" w:color="auto"/>
        <w:left w:val="none" w:sz="0" w:space="0" w:color="auto"/>
        <w:bottom w:val="none" w:sz="0" w:space="0" w:color="auto"/>
        <w:right w:val="none" w:sz="0" w:space="0" w:color="auto"/>
      </w:divBdr>
    </w:div>
    <w:div w:id="9732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5573B-2049-4694-95E6-FCCC6961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8A204-3043-455C-886F-687B50497681}">
  <ds:schemaRefs>
    <ds:schemaRef ds:uri="http://schemas.openxmlformats.org/package/2006/metadata/core-properties"/>
    <ds:schemaRef ds:uri="http://www.w3.org/XML/1998/namespace"/>
    <ds:schemaRef ds:uri="http://schemas.microsoft.com/office/2006/metadata/properties"/>
    <ds:schemaRef ds:uri="http://purl.org/dc/elements/1.1/"/>
    <ds:schemaRef ds:uri="9c8a2b7b-0bee-4c48-b0a6-23db8982d3bc"/>
    <ds:schemaRef ds:uri="http://schemas.microsoft.com/office/2006/documentManagement/types"/>
    <ds:schemaRef ds:uri="http://purl.org/dc/terms/"/>
    <ds:schemaRef ds:uri="http://schemas.microsoft.com/office/infopath/2007/PartnerControls"/>
    <ds:schemaRef ds:uri="cab52c9b-ab33-4221-8af9-54f8f2b86a80"/>
    <ds:schemaRef ds:uri="6911e96c-4cc4-42d5-8e43-f93924cf6a05"/>
    <ds:schemaRef ds:uri="http://purl.org/dc/dcmitype/"/>
  </ds:schemaRefs>
</ds:datastoreItem>
</file>

<file path=customXml/itemProps3.xml><?xml version="1.0" encoding="utf-8"?>
<ds:datastoreItem xmlns:ds="http://schemas.openxmlformats.org/officeDocument/2006/customXml" ds:itemID="{7CF9455E-AE72-4A88-808D-21639BE8B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cgoytia</dc:creator>
  <cp:keywords/>
  <dc:description/>
  <cp:lastModifiedBy>Bethany Yee</cp:lastModifiedBy>
  <cp:revision>3</cp:revision>
  <dcterms:created xsi:type="dcterms:W3CDTF">2025-03-06T22:57:00Z</dcterms:created>
  <dcterms:modified xsi:type="dcterms:W3CDTF">2025-08-10T03:09:00Z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