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C7D9B" w14:textId="3A9C5935" w:rsidR="008427FA" w:rsidRDefault="008427FA" w:rsidP="008427FA">
      <w:pPr>
        <w:rPr>
          <w:rFonts w:ascii="Arial" w:hAnsi="Arial" w:cs="Arial"/>
          <w:lang w:eastAsia="ja-JP"/>
        </w:rPr>
      </w:pPr>
      <w:r w:rsidRPr="007244F0">
        <w:rPr>
          <w:rFonts w:ascii="Arial" w:hAnsi="Arial" w:cs="Arial"/>
        </w:rPr>
        <w:t xml:space="preserve">Abstract title: </w:t>
      </w:r>
      <w:r w:rsidR="00952C70">
        <w:rPr>
          <w:rFonts w:ascii="Arial" w:hAnsi="Arial" w:cs="Arial" w:hint="eastAsia"/>
          <w:lang w:eastAsia="ja-JP"/>
        </w:rPr>
        <w:t>Hepatic and serum metabolomic landscape in participants</w:t>
      </w:r>
      <w:r w:rsidR="00D8181F">
        <w:rPr>
          <w:rFonts w:ascii="Arial" w:hAnsi="Arial" w:cs="Arial" w:hint="eastAsia"/>
          <w:lang w:eastAsia="ja-JP"/>
        </w:rPr>
        <w:t xml:space="preserve"> receiving glimepiride and tofogliflozin</w:t>
      </w:r>
      <w:r w:rsidR="004426AD">
        <w:rPr>
          <w:rFonts w:ascii="Arial" w:hAnsi="Arial" w:cs="Arial" w:hint="eastAsia"/>
          <w:lang w:eastAsia="ja-JP"/>
        </w:rPr>
        <w:t>:</w:t>
      </w:r>
      <w:r w:rsidR="004426AD">
        <w:rPr>
          <w:rFonts w:ascii="Arial" w:hAnsi="Arial" w:cs="Arial"/>
          <w:lang w:eastAsia="ja-JP"/>
        </w:rPr>
        <w:t xml:space="preserve"> </w:t>
      </w:r>
      <w:r w:rsidR="004426AD">
        <w:rPr>
          <w:rFonts w:ascii="Arial" w:hAnsi="Arial" w:cs="Arial" w:hint="eastAsia"/>
          <w:lang w:eastAsia="ja-JP"/>
        </w:rPr>
        <w:t>a post-hoc analysis</w:t>
      </w:r>
    </w:p>
    <w:p w14:paraId="49CEBC5C" w14:textId="77777777" w:rsidR="00416E7B" w:rsidRPr="00416E7B" w:rsidRDefault="00416E7B" w:rsidP="008427FA">
      <w:pPr>
        <w:rPr>
          <w:rFonts w:ascii="Arial" w:hAnsi="Arial" w:cs="Arial"/>
          <w:lang w:val="en-US" w:eastAsia="ja-JP"/>
        </w:rPr>
      </w:pPr>
    </w:p>
    <w:p w14:paraId="454B7C19" w14:textId="364899C2" w:rsidR="008427FA" w:rsidRPr="007244F0" w:rsidRDefault="008427FA" w:rsidP="008427FA">
      <w:pPr>
        <w:rPr>
          <w:rFonts w:ascii="Arial" w:hAnsi="Arial" w:cs="Arial"/>
        </w:rPr>
      </w:pPr>
      <w:r w:rsidRPr="007244F0">
        <w:rPr>
          <w:rFonts w:ascii="Arial" w:hAnsi="Arial" w:cs="Arial"/>
        </w:rPr>
        <w:t xml:space="preserve">Abstract </w:t>
      </w:r>
      <w:r w:rsidR="007244F0">
        <w:rPr>
          <w:rFonts w:ascii="Arial" w:hAnsi="Arial" w:cs="Arial"/>
        </w:rPr>
        <w:t>content</w:t>
      </w:r>
      <w:r w:rsidRPr="007244F0">
        <w:rPr>
          <w:rFonts w:ascii="Arial" w:hAnsi="Arial" w:cs="Arial"/>
        </w:rPr>
        <w:t xml:space="preserve">: </w:t>
      </w:r>
    </w:p>
    <w:p w14:paraId="14828545" w14:textId="312FC6ED" w:rsidR="00CD261C" w:rsidRPr="009D0781" w:rsidRDefault="00CD261C" w:rsidP="00CD261C">
      <w:pPr>
        <w:rPr>
          <w:rFonts w:ascii="Arial" w:eastAsiaTheme="minorHAnsi" w:hAnsi="Arial" w:cs="Arial"/>
          <w:b/>
          <w:bCs/>
          <w:color w:val="000000" w:themeColor="text1"/>
        </w:rPr>
      </w:pPr>
      <w:r w:rsidRPr="009D0781">
        <w:rPr>
          <w:rFonts w:ascii="Arial" w:hAnsi="Arial" w:cs="Arial"/>
          <w:b/>
          <w:bCs/>
          <w:color w:val="000000" w:themeColor="text1"/>
          <w:lang w:eastAsia="ja-JP"/>
        </w:rPr>
        <w:t>A</w:t>
      </w:r>
      <w:r w:rsidRPr="009D0781">
        <w:rPr>
          <w:rFonts w:ascii="Arial" w:eastAsiaTheme="minorHAnsi" w:hAnsi="Arial" w:cs="Arial"/>
          <w:b/>
          <w:bCs/>
          <w:color w:val="000000" w:themeColor="text1"/>
        </w:rPr>
        <w:t>ims</w:t>
      </w:r>
    </w:p>
    <w:p w14:paraId="6E3F5FA9" w14:textId="0C60BA85" w:rsidR="00CD261C" w:rsidRPr="009D0781" w:rsidRDefault="00CD261C" w:rsidP="00CD261C">
      <w:pPr>
        <w:rPr>
          <w:rFonts w:ascii="Arial" w:eastAsia="Arial" w:hAnsi="Arial" w:cs="Arial"/>
          <w:b/>
          <w:color w:val="000000" w:themeColor="text1"/>
        </w:rPr>
      </w:pPr>
      <w:r w:rsidRPr="009D0781">
        <w:rPr>
          <w:rFonts w:ascii="Arial" w:eastAsia="Arial" w:hAnsi="Arial" w:cs="Arial"/>
          <w:bCs/>
          <w:color w:val="000000" w:themeColor="text1"/>
        </w:rPr>
        <w:t xml:space="preserve">The mechanism by which sodium-glucose cotransporter 2 (SGLT2) inhibitors and sulfonylureas alter </w:t>
      </w:r>
      <w:r w:rsidR="00880D07">
        <w:rPr>
          <w:rFonts w:ascii="Arial" w:hAnsi="Arial" w:cs="Arial"/>
          <w:bCs/>
          <w:color w:val="000000" w:themeColor="text1"/>
          <w:lang w:eastAsia="ja-JP"/>
        </w:rPr>
        <w:t>hepatic metabolism</w:t>
      </w:r>
      <w:r w:rsidRPr="009D0781">
        <w:rPr>
          <w:rFonts w:ascii="Arial" w:eastAsia="Arial" w:hAnsi="Arial" w:cs="Arial"/>
          <w:bCs/>
          <w:color w:val="000000" w:themeColor="text1"/>
        </w:rPr>
        <w:t xml:space="preserve"> in humans with metabolic dysfunction-associated steatotic liver disease (MASLD) and type 2 diabetes mellitus </w:t>
      </w:r>
      <w:r w:rsidR="00C75BDE">
        <w:rPr>
          <w:rFonts w:ascii="Arial" w:eastAsia="Arial" w:hAnsi="Arial" w:cs="Arial"/>
          <w:bCs/>
          <w:color w:val="000000" w:themeColor="text1"/>
        </w:rPr>
        <w:t>remains</w:t>
      </w:r>
      <w:r w:rsidRPr="009D0781">
        <w:rPr>
          <w:rFonts w:ascii="Arial" w:eastAsia="Arial" w:hAnsi="Arial" w:cs="Arial"/>
          <w:bCs/>
          <w:color w:val="000000" w:themeColor="text1"/>
        </w:rPr>
        <w:t xml:space="preserve"> un</w:t>
      </w:r>
      <w:r w:rsidR="00880D07">
        <w:rPr>
          <w:rFonts w:ascii="Arial" w:hAnsi="Arial" w:cs="Arial" w:hint="eastAsia"/>
          <w:bCs/>
          <w:color w:val="000000" w:themeColor="text1"/>
          <w:lang w:eastAsia="ja-JP"/>
        </w:rPr>
        <w:t>clear</w:t>
      </w:r>
      <w:r w:rsidRPr="009D0781">
        <w:rPr>
          <w:rFonts w:ascii="Arial" w:eastAsia="Arial" w:hAnsi="Arial" w:cs="Arial"/>
          <w:bCs/>
          <w:color w:val="000000" w:themeColor="text1"/>
        </w:rPr>
        <w:t xml:space="preserve">. </w:t>
      </w:r>
    </w:p>
    <w:p w14:paraId="1045CE0F" w14:textId="77777777" w:rsidR="00CD261C" w:rsidRPr="009D0781" w:rsidRDefault="00CD261C" w:rsidP="00CD261C">
      <w:pPr>
        <w:rPr>
          <w:rFonts w:ascii="Arial" w:hAnsi="Arial" w:cs="Arial"/>
          <w:b/>
          <w:bCs/>
          <w:color w:val="000000" w:themeColor="text1"/>
        </w:rPr>
      </w:pPr>
      <w:r w:rsidRPr="009D0781">
        <w:rPr>
          <w:rFonts w:ascii="Arial" w:hAnsi="Arial" w:cs="Arial"/>
          <w:b/>
          <w:bCs/>
          <w:color w:val="000000" w:themeColor="text1"/>
        </w:rPr>
        <w:t>Methods</w:t>
      </w:r>
    </w:p>
    <w:p w14:paraId="12C45421" w14:textId="6F91E941" w:rsidR="00173D4A" w:rsidRPr="00173D4A" w:rsidRDefault="00173D4A" w:rsidP="00CD261C">
      <w:pPr>
        <w:rPr>
          <w:rFonts w:ascii="Arial" w:hAnsi="Arial" w:cs="Arial"/>
          <w:bCs/>
          <w:color w:val="000000" w:themeColor="text1"/>
          <w:lang w:eastAsia="ja-JP"/>
        </w:rPr>
      </w:pPr>
      <w:r w:rsidRPr="00173D4A">
        <w:rPr>
          <w:rFonts w:ascii="Arial" w:hAnsi="Arial" w:cs="Arial"/>
          <w:bCs/>
          <w:color w:val="000000" w:themeColor="text1"/>
          <w:lang w:eastAsia="ja-JP"/>
        </w:rPr>
        <w:t xml:space="preserve">In this 48-week, randomized, open-label, parallel-group trial, 40 </w:t>
      </w:r>
      <w:r w:rsidRPr="009D0781">
        <w:rPr>
          <w:rFonts w:ascii="Arial" w:eastAsia="Arial" w:hAnsi="Arial" w:cs="Arial"/>
          <w:color w:val="000000" w:themeColor="text1"/>
        </w:rPr>
        <w:t>participants</w:t>
      </w:r>
      <w:r w:rsidRPr="00173D4A">
        <w:rPr>
          <w:rFonts w:ascii="Arial" w:hAnsi="Arial" w:cs="Arial"/>
          <w:bCs/>
          <w:color w:val="000000" w:themeColor="text1"/>
          <w:lang w:eastAsia="ja-JP"/>
        </w:rPr>
        <w:t xml:space="preserve"> with biopsy-confirmed MASLD and type 2 diabetes were assigned to receive tofogliflozin or glimepiride once daily</w:t>
      </w:r>
      <w:r w:rsidR="00BB7E27">
        <w:rPr>
          <w:rFonts w:ascii="Arial" w:hAnsi="Arial" w:cs="Arial" w:hint="eastAsia"/>
          <w:bCs/>
          <w:color w:val="000000" w:themeColor="text1"/>
          <w:lang w:eastAsia="ja-JP"/>
        </w:rPr>
        <w:t xml:space="preserve"> (</w:t>
      </w:r>
      <w:r w:rsidR="00BB7E27" w:rsidRPr="00EC6A16">
        <w:rPr>
          <w:rFonts w:ascii="Arial" w:hAnsi="Arial" w:cs="Arial"/>
          <w:bCs/>
          <w:color w:val="000000" w:themeColor="text1"/>
          <w:lang w:eastAsia="ja-JP"/>
        </w:rPr>
        <w:t>NCT02649465 and</w:t>
      </w:r>
      <w:r w:rsidR="00BB7E27">
        <w:rPr>
          <w:rFonts w:ascii="Arial" w:hAnsi="Arial" w:cs="Arial" w:hint="eastAsia"/>
          <w:bCs/>
          <w:color w:val="000000" w:themeColor="text1"/>
          <w:lang w:eastAsia="ja-JP"/>
        </w:rPr>
        <w:t xml:space="preserve"> </w:t>
      </w:r>
      <w:r w:rsidR="00BB7E27" w:rsidRPr="00EC6A16">
        <w:rPr>
          <w:rFonts w:ascii="Arial" w:hAnsi="Arial" w:cs="Arial"/>
          <w:bCs/>
          <w:color w:val="000000" w:themeColor="text1"/>
          <w:lang w:eastAsia="ja-JP"/>
        </w:rPr>
        <w:t>jRCTs041180132)</w:t>
      </w:r>
      <w:r w:rsidRPr="00173D4A">
        <w:rPr>
          <w:rFonts w:ascii="Arial" w:hAnsi="Arial" w:cs="Arial"/>
          <w:bCs/>
          <w:color w:val="000000" w:themeColor="text1"/>
          <w:lang w:eastAsia="ja-JP"/>
        </w:rPr>
        <w:t>. Changes in serum and hepatic metabolites were evaluated</w:t>
      </w:r>
      <w:r w:rsidR="00C75BDE">
        <w:rPr>
          <w:rFonts w:ascii="Arial" w:hAnsi="Arial" w:cs="Arial"/>
          <w:bCs/>
          <w:color w:val="000000" w:themeColor="text1"/>
          <w:lang w:eastAsia="ja-JP"/>
        </w:rPr>
        <w:t>,</w:t>
      </w:r>
      <w:r w:rsidRPr="00173D4A">
        <w:rPr>
          <w:rFonts w:ascii="Arial" w:hAnsi="Arial" w:cs="Arial"/>
          <w:bCs/>
          <w:color w:val="000000" w:themeColor="text1"/>
          <w:lang w:eastAsia="ja-JP"/>
        </w:rPr>
        <w:t xml:space="preserve"> and their associations with liver histology, liver enzymes, and metabolic markers were </w:t>
      </w:r>
      <w:proofErr w:type="spellStart"/>
      <w:r w:rsidRPr="00173D4A">
        <w:rPr>
          <w:rFonts w:ascii="Arial" w:hAnsi="Arial" w:cs="Arial"/>
          <w:bCs/>
          <w:color w:val="000000" w:themeColor="text1"/>
          <w:lang w:eastAsia="ja-JP"/>
        </w:rPr>
        <w:t>analyzed</w:t>
      </w:r>
      <w:proofErr w:type="spellEnd"/>
      <w:r w:rsidRPr="00173D4A">
        <w:rPr>
          <w:rFonts w:ascii="Arial" w:hAnsi="Arial" w:cs="Arial"/>
          <w:bCs/>
          <w:color w:val="000000" w:themeColor="text1"/>
          <w:lang w:eastAsia="ja-JP"/>
        </w:rPr>
        <w:t>.</w:t>
      </w:r>
      <w:r w:rsidR="000A75A2">
        <w:rPr>
          <w:rFonts w:ascii="Arial" w:hAnsi="Arial" w:cs="Arial" w:hint="eastAsia"/>
          <w:bCs/>
          <w:color w:val="000000" w:themeColor="text1"/>
          <w:lang w:eastAsia="ja-JP"/>
        </w:rPr>
        <w:t xml:space="preserve"> </w:t>
      </w:r>
      <w:r w:rsidR="000A75A2" w:rsidRPr="000A75A2">
        <w:rPr>
          <w:rFonts w:ascii="Arial" w:hAnsi="Arial" w:cs="Arial"/>
          <w:bCs/>
          <w:color w:val="000000" w:themeColor="text1"/>
          <w:lang w:eastAsia="ja-JP"/>
        </w:rPr>
        <w:t>All CE time-of-flight MS experiments were performed using an Agilent CE capillary electrophoresis system</w:t>
      </w:r>
      <w:r w:rsidR="000A75A2">
        <w:rPr>
          <w:rFonts w:ascii="Arial" w:hAnsi="Arial" w:cs="Arial" w:hint="eastAsia"/>
          <w:bCs/>
          <w:color w:val="000000" w:themeColor="text1"/>
          <w:lang w:eastAsia="ja-JP"/>
        </w:rPr>
        <w:t>.</w:t>
      </w:r>
    </w:p>
    <w:p w14:paraId="29E7B857" w14:textId="77777777" w:rsidR="00CD261C" w:rsidRPr="009D0781" w:rsidRDefault="00CD261C" w:rsidP="00CD261C">
      <w:pPr>
        <w:rPr>
          <w:rFonts w:ascii="Arial" w:hAnsi="Arial" w:cs="Arial"/>
          <w:b/>
          <w:bCs/>
          <w:color w:val="000000" w:themeColor="text1"/>
        </w:rPr>
      </w:pPr>
      <w:r w:rsidRPr="009D0781">
        <w:rPr>
          <w:rFonts w:ascii="Arial" w:hAnsi="Arial" w:cs="Arial"/>
          <w:b/>
          <w:bCs/>
          <w:color w:val="000000" w:themeColor="text1"/>
        </w:rPr>
        <w:t>Results</w:t>
      </w:r>
    </w:p>
    <w:p w14:paraId="67262A4D" w14:textId="0B488256" w:rsidR="00772097" w:rsidRDefault="00772097" w:rsidP="00CD261C">
      <w:pPr>
        <w:rPr>
          <w:rFonts w:ascii="Arial" w:hAnsi="Arial" w:cs="Arial"/>
          <w:bCs/>
          <w:color w:val="000000" w:themeColor="text1"/>
        </w:rPr>
      </w:pPr>
      <w:proofErr w:type="spellStart"/>
      <w:r w:rsidRPr="00772097">
        <w:rPr>
          <w:rFonts w:ascii="Arial" w:hAnsi="Arial" w:cs="Arial"/>
          <w:bCs/>
          <w:color w:val="000000" w:themeColor="text1"/>
        </w:rPr>
        <w:t>Glycemic</w:t>
      </w:r>
      <w:proofErr w:type="spellEnd"/>
      <w:r w:rsidRPr="00772097">
        <w:rPr>
          <w:rFonts w:ascii="Arial" w:hAnsi="Arial" w:cs="Arial"/>
          <w:bCs/>
          <w:color w:val="000000" w:themeColor="text1"/>
        </w:rPr>
        <w:t xml:space="preserve"> improvement was similar between groups. </w:t>
      </w:r>
      <w:r w:rsidR="00913192" w:rsidRPr="00913192">
        <w:rPr>
          <w:rFonts w:ascii="Arial" w:hAnsi="Arial" w:cs="Arial"/>
          <w:bCs/>
          <w:color w:val="000000" w:themeColor="text1"/>
        </w:rPr>
        <w:t>Urinary CPR levels decreased significantly in the tofogliflozin group, with significant differences between the groups.</w:t>
      </w:r>
      <w:r w:rsidR="00913192">
        <w:rPr>
          <w:rFonts w:ascii="Arial" w:hAnsi="Arial" w:cs="Arial"/>
          <w:bCs/>
          <w:color w:val="000000" w:themeColor="text1"/>
        </w:rPr>
        <w:t xml:space="preserve"> </w:t>
      </w:r>
      <w:r w:rsidRPr="00772097">
        <w:rPr>
          <w:rFonts w:ascii="Arial" w:hAnsi="Arial" w:cs="Arial"/>
          <w:bCs/>
          <w:color w:val="000000" w:themeColor="text1"/>
        </w:rPr>
        <w:t xml:space="preserve">Tofogliflozin significantly improved liver histology </w:t>
      </w:r>
      <w:r w:rsidR="00A57F56">
        <w:rPr>
          <w:rFonts w:ascii="Arial" w:hAnsi="Arial" w:cs="Arial" w:hint="eastAsia"/>
          <w:bCs/>
          <w:color w:val="000000" w:themeColor="text1"/>
          <w:lang w:eastAsia="ja-JP"/>
        </w:rPr>
        <w:t>(</w:t>
      </w:r>
      <w:r w:rsidR="00E102E3" w:rsidRPr="00E102E3">
        <w:rPr>
          <w:rFonts w:ascii="Arial" w:hAnsi="Arial" w:cs="Arial"/>
          <w:bCs/>
          <w:color w:val="000000" w:themeColor="text1"/>
          <w:lang w:eastAsia="ja-JP"/>
        </w:rPr>
        <w:t>steatosis, hepatocellular ballooning, lobular inflammation, and fibrosis</w:t>
      </w:r>
      <w:r w:rsidR="00A57F56">
        <w:rPr>
          <w:rFonts w:ascii="Arial" w:hAnsi="Arial" w:cs="Arial" w:hint="eastAsia"/>
          <w:bCs/>
          <w:color w:val="000000" w:themeColor="text1"/>
          <w:lang w:eastAsia="ja-JP"/>
        </w:rPr>
        <w:t xml:space="preserve">) </w:t>
      </w:r>
      <w:r w:rsidRPr="00772097">
        <w:rPr>
          <w:rFonts w:ascii="Arial" w:hAnsi="Arial" w:cs="Arial"/>
          <w:bCs/>
          <w:color w:val="000000" w:themeColor="text1"/>
        </w:rPr>
        <w:t>and reduced serum liver enzymes, body weight, and BMI.</w:t>
      </w:r>
      <w:r w:rsidR="0049779E">
        <w:rPr>
          <w:rFonts w:ascii="Arial" w:hAnsi="Arial" w:cs="Arial"/>
          <w:bCs/>
          <w:color w:val="000000" w:themeColor="text1"/>
        </w:rPr>
        <w:t xml:space="preserve"> </w:t>
      </w:r>
      <w:r w:rsidR="00A65379" w:rsidRPr="00A65379">
        <w:rPr>
          <w:rFonts w:ascii="Arial" w:hAnsi="Arial" w:cs="Arial"/>
          <w:bCs/>
          <w:color w:val="000000" w:themeColor="text1"/>
          <w:lang w:val="en-US"/>
        </w:rPr>
        <w:t xml:space="preserve">Tofogliflozin treatment significantly increased hepatic </w:t>
      </w:r>
      <w:r w:rsidR="00175B11">
        <w:rPr>
          <w:rFonts w:ascii="Arial" w:hAnsi="Arial" w:cs="Arial"/>
          <w:bCs/>
          <w:color w:val="000000" w:themeColor="text1"/>
          <w:lang w:val="en-US"/>
        </w:rPr>
        <w:t>levels of glucose 1-phosphate and acetyl-CoA</w:t>
      </w:r>
      <w:r w:rsidR="00A65379" w:rsidRPr="00A65379">
        <w:rPr>
          <w:rFonts w:ascii="Arial" w:hAnsi="Arial" w:cs="Arial"/>
          <w:bCs/>
          <w:color w:val="000000" w:themeColor="text1"/>
          <w:lang w:val="en-US"/>
        </w:rPr>
        <w:t>, reflecting a metabolic shift toward ketogenesis and gluconeogenesis</w:t>
      </w:r>
      <w:r w:rsidRPr="00772097">
        <w:rPr>
          <w:rFonts w:ascii="Arial" w:hAnsi="Arial" w:cs="Arial"/>
          <w:bCs/>
          <w:color w:val="000000" w:themeColor="text1"/>
        </w:rPr>
        <w:t>. Among tricarboxylic acid cycle intermediates, serum citrate increased</w:t>
      </w:r>
      <w:r w:rsidR="00DB3A5B">
        <w:rPr>
          <w:rFonts w:ascii="Arial" w:hAnsi="Arial" w:cs="Arial"/>
          <w:bCs/>
          <w:color w:val="000000" w:themeColor="text1"/>
        </w:rPr>
        <w:t>,</w:t>
      </w:r>
      <w:r w:rsidRPr="00772097">
        <w:rPr>
          <w:rFonts w:ascii="Arial" w:hAnsi="Arial" w:cs="Arial"/>
          <w:bCs/>
          <w:color w:val="000000" w:themeColor="text1"/>
        </w:rPr>
        <w:t xml:space="preserve"> and succinate decreased without hepatic changes. Reduced serum succinate correlated with decreases in ALT and GGT, and higher baseline succinate predicted improvements in ballooning, inflammation, and liver enzymes. </w:t>
      </w:r>
      <w:r w:rsidR="0049779E" w:rsidRPr="0049779E">
        <w:rPr>
          <w:rFonts w:ascii="Arial" w:hAnsi="Arial" w:cs="Arial"/>
          <w:bCs/>
          <w:color w:val="000000" w:themeColor="text1"/>
          <w:lang w:val="en-US"/>
        </w:rPr>
        <w:t>In contrast, glimepiride specifically reduced hepatic branched-chain amino acids</w:t>
      </w:r>
      <w:r w:rsidR="00F85765">
        <w:rPr>
          <w:rFonts w:ascii="Arial" w:hAnsi="Arial" w:cs="Arial"/>
          <w:bCs/>
          <w:color w:val="000000" w:themeColor="text1"/>
          <w:lang w:val="en-US"/>
        </w:rPr>
        <w:t>,</w:t>
      </w:r>
      <w:r w:rsidR="0049779E" w:rsidRPr="0049779E">
        <w:rPr>
          <w:rFonts w:ascii="Arial" w:hAnsi="Arial" w:cs="Arial"/>
          <w:bCs/>
          <w:color w:val="000000" w:themeColor="text1"/>
          <w:lang w:val="en-US"/>
        </w:rPr>
        <w:t xml:space="preserve"> which was associated with decreased steatosis. Tofogliflozin also elevated serum urea cycle intermediates, suggesting a distinct “aestivation-like” response to hypovolemia.</w:t>
      </w:r>
    </w:p>
    <w:p w14:paraId="09FC78C0" w14:textId="2C5F82B5" w:rsidR="00CD261C" w:rsidRPr="009D0781" w:rsidRDefault="00CD261C" w:rsidP="00CD261C">
      <w:pPr>
        <w:rPr>
          <w:rFonts w:ascii="Arial" w:hAnsi="Arial" w:cs="Arial"/>
          <w:b/>
          <w:bCs/>
          <w:color w:val="000000" w:themeColor="text1"/>
        </w:rPr>
      </w:pPr>
      <w:r w:rsidRPr="009D0781">
        <w:rPr>
          <w:rFonts w:ascii="Arial" w:hAnsi="Arial" w:cs="Arial"/>
          <w:b/>
          <w:bCs/>
          <w:color w:val="000000" w:themeColor="text1"/>
        </w:rPr>
        <w:t>Conclusion</w:t>
      </w:r>
    </w:p>
    <w:p w14:paraId="77B44341" w14:textId="66A3A780" w:rsidR="00CB5B1C" w:rsidRDefault="007A393C" w:rsidP="00CB5B1C">
      <w:pPr>
        <w:rPr>
          <w:rFonts w:ascii="Arial" w:eastAsia="ＭＳ 明朝" w:hAnsi="Arial" w:cs="Arial"/>
          <w:color w:val="000000" w:themeColor="text1"/>
        </w:rPr>
      </w:pPr>
      <w:r w:rsidRPr="007A393C">
        <w:rPr>
          <w:rFonts w:ascii="Arial" w:eastAsia="ＭＳ 明朝" w:hAnsi="Arial" w:cs="Arial"/>
          <w:color w:val="000000" w:themeColor="text1"/>
        </w:rPr>
        <w:t>SGLT2 inhibition produced a distinct metabolic signature consistent with starvation-induced glucose production and a hypovolemia-related aestivation-like hepatic response. Serum succinate may serve as a biomarker reflecting MASLD pathology.</w:t>
      </w:r>
    </w:p>
    <w:p w14:paraId="1BB5F3B1" w14:textId="77777777" w:rsidR="007A393C" w:rsidRDefault="007A393C" w:rsidP="00CB5B1C">
      <w:pPr>
        <w:rPr>
          <w:rFonts w:ascii="Arial" w:eastAsia="ＭＳ 明朝" w:hAnsi="Arial" w:cs="Arial"/>
          <w:color w:val="000000" w:themeColor="text1"/>
          <w:lang w:eastAsia="ja-JP"/>
        </w:rPr>
      </w:pPr>
    </w:p>
    <w:p w14:paraId="19CCE569" w14:textId="1EFA0837" w:rsidR="00EB71A6" w:rsidRPr="00CB3761" w:rsidRDefault="00EB71A6">
      <w:pPr>
        <w:rPr>
          <w:rFonts w:ascii="Arial" w:hAnsi="Arial" w:cs="Arial"/>
          <w:lang w:eastAsia="ja-JP"/>
        </w:rPr>
      </w:pPr>
    </w:p>
    <w:sectPr w:rsidR="00EB71A6" w:rsidRPr="00CB3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09A"/>
    <w:multiLevelType w:val="hybridMultilevel"/>
    <w:tmpl w:val="B08C5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076F9"/>
    <w:multiLevelType w:val="hybridMultilevel"/>
    <w:tmpl w:val="541ACF08"/>
    <w:lvl w:ilvl="0" w:tplc="74820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0735468">
    <w:abstractNumId w:val="0"/>
  </w:num>
  <w:num w:numId="2" w16cid:durableId="120625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A75A2"/>
    <w:rsid w:val="000D0DF6"/>
    <w:rsid w:val="00105BDB"/>
    <w:rsid w:val="00173D4A"/>
    <w:rsid w:val="00175B11"/>
    <w:rsid w:val="001F22B2"/>
    <w:rsid w:val="0028124D"/>
    <w:rsid w:val="002D10CF"/>
    <w:rsid w:val="003006C7"/>
    <w:rsid w:val="00376B39"/>
    <w:rsid w:val="0038468C"/>
    <w:rsid w:val="003A75E9"/>
    <w:rsid w:val="003C39D0"/>
    <w:rsid w:val="003C6D73"/>
    <w:rsid w:val="00416E7B"/>
    <w:rsid w:val="004426AD"/>
    <w:rsid w:val="00456F43"/>
    <w:rsid w:val="0049779E"/>
    <w:rsid w:val="004B3EB4"/>
    <w:rsid w:val="004E09DD"/>
    <w:rsid w:val="00551CDF"/>
    <w:rsid w:val="006633DB"/>
    <w:rsid w:val="007244F0"/>
    <w:rsid w:val="00772097"/>
    <w:rsid w:val="007A393C"/>
    <w:rsid w:val="007C1CA5"/>
    <w:rsid w:val="007C3477"/>
    <w:rsid w:val="007E0A48"/>
    <w:rsid w:val="00830A4D"/>
    <w:rsid w:val="008427FA"/>
    <w:rsid w:val="0084462A"/>
    <w:rsid w:val="00846AC8"/>
    <w:rsid w:val="00880D07"/>
    <w:rsid w:val="008953CF"/>
    <w:rsid w:val="008A1998"/>
    <w:rsid w:val="008D1E80"/>
    <w:rsid w:val="00913192"/>
    <w:rsid w:val="00917325"/>
    <w:rsid w:val="00927C90"/>
    <w:rsid w:val="00952C70"/>
    <w:rsid w:val="009A582D"/>
    <w:rsid w:val="009D0781"/>
    <w:rsid w:val="009D79DB"/>
    <w:rsid w:val="00A3366B"/>
    <w:rsid w:val="00A57F56"/>
    <w:rsid w:val="00A65379"/>
    <w:rsid w:val="00A85759"/>
    <w:rsid w:val="00AD02A8"/>
    <w:rsid w:val="00B761B9"/>
    <w:rsid w:val="00BB7E27"/>
    <w:rsid w:val="00BC73E4"/>
    <w:rsid w:val="00C129C0"/>
    <w:rsid w:val="00C75BDE"/>
    <w:rsid w:val="00C82401"/>
    <w:rsid w:val="00CB3761"/>
    <w:rsid w:val="00CB5B1C"/>
    <w:rsid w:val="00CC4464"/>
    <w:rsid w:val="00CD261C"/>
    <w:rsid w:val="00D56368"/>
    <w:rsid w:val="00D8181F"/>
    <w:rsid w:val="00DB3A5B"/>
    <w:rsid w:val="00DD0D64"/>
    <w:rsid w:val="00E102E3"/>
    <w:rsid w:val="00E12F94"/>
    <w:rsid w:val="00EB71A6"/>
    <w:rsid w:val="00EC6A16"/>
    <w:rsid w:val="00ED22BA"/>
    <w:rsid w:val="00EF214F"/>
    <w:rsid w:val="00F00FBC"/>
    <w:rsid w:val="00F85765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EastAsia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CB5B1C"/>
    <w:rPr>
      <w:rFonts w:ascii="Calibri" w:eastAsia="Times New Roman" w:hAnsi="Calibri" w:cs="Calibri"/>
      <w:lang w:eastAsia="en-NZ"/>
    </w:rPr>
  </w:style>
  <w:style w:type="paragraph" w:styleId="a3">
    <w:name w:val="List Paragraph"/>
    <w:basedOn w:val="a"/>
    <w:uiPriority w:val="34"/>
    <w:qFormat/>
    <w:rsid w:val="00CB5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ACC6A-3005-43E3-A4A9-813B8A2A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竹下 有美枝</cp:lastModifiedBy>
  <cp:revision>53</cp:revision>
  <dcterms:created xsi:type="dcterms:W3CDTF">2026-02-17T20:04:00Z</dcterms:created>
  <dcterms:modified xsi:type="dcterms:W3CDTF">2026-03-11T05:02:00Z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6d93b38e-5e62-4bb1-bbf0-565662ac51b1</vt:lpwstr>
  </property>
</Properties>
</file>