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7E26" w14:textId="74934B20" w:rsidR="00D34A0C" w:rsidRDefault="00D34A0C" w:rsidP="00F44628">
      <w:pPr>
        <w:pStyle w:val="41"/>
        <w:spacing w:line="240" w:lineRule="auto"/>
        <w:ind w:firstLineChars="0" w:firstLine="0"/>
        <w:jc w:val="left"/>
        <w:rPr>
          <w:rFonts w:ascii="Arial" w:hAnsi="Arial" w:cs="Arial"/>
          <w:b/>
          <w:sz w:val="22"/>
          <w:szCs w:val="22"/>
        </w:rPr>
      </w:pPr>
      <w:bookmarkStart w:id="0" w:name="OLE_LINK13"/>
      <w:bookmarkStart w:id="1" w:name="_Toc101390864"/>
      <w:bookmarkStart w:id="2" w:name="_Toc22818"/>
      <w:bookmarkStart w:id="3" w:name="_Toc161187862"/>
      <w:bookmarkStart w:id="4" w:name="_Toc67863321"/>
      <w:bookmarkStart w:id="5" w:name="_Toc71094917"/>
      <w:bookmarkStart w:id="6" w:name="_Toc101390908"/>
      <w:bookmarkStart w:id="7" w:name="_Toc189925313"/>
      <w:bookmarkStart w:id="8" w:name="_Toc191931277"/>
      <w:bookmarkStart w:id="9" w:name="_Toc192703642"/>
      <w:bookmarkStart w:id="10" w:name="_Toc192704183"/>
      <w:bookmarkStart w:id="11" w:name="_Toc193291000"/>
      <w:bookmarkStart w:id="12" w:name="_Toc193292861"/>
      <w:bookmarkStart w:id="13" w:name="_Toc193293861"/>
      <w:bookmarkStart w:id="14" w:name="_Toc193299226"/>
      <w:bookmarkStart w:id="15" w:name="_Toc193320214"/>
      <w:bookmarkStart w:id="16" w:name="_Toc193382650"/>
      <w:bookmarkStart w:id="17" w:name="_Toc193751094"/>
      <w:bookmarkStart w:id="18" w:name="_Toc193751224"/>
      <w:bookmarkStart w:id="19" w:name="_Toc193831557"/>
      <w:bookmarkStart w:id="20" w:name="_Toc193926801"/>
      <w:bookmarkStart w:id="21" w:name="_Toc193998233"/>
      <w:bookmarkStart w:id="22" w:name="_Toc194009454"/>
      <w:bookmarkStart w:id="23" w:name="_Toc194160968"/>
      <w:bookmarkStart w:id="24" w:name="_Toc194358378"/>
      <w:bookmarkStart w:id="25" w:name="_Toc194419486"/>
      <w:bookmarkStart w:id="26" w:name="_Toc194420510"/>
      <w:bookmarkStart w:id="27" w:name="_Toc194429279"/>
      <w:bookmarkStart w:id="28" w:name="_Toc194429989"/>
      <w:bookmarkStart w:id="29" w:name="_Toc194431337"/>
      <w:bookmarkStart w:id="30" w:name="_Toc198630760"/>
      <w:r w:rsidRPr="00022800">
        <w:rPr>
          <w:rFonts w:ascii="Arial" w:hAnsi="Arial" w:cs="Arial"/>
          <w:b/>
          <w:sz w:val="22"/>
          <w:szCs w:val="22"/>
        </w:rPr>
        <w:t>Semaglutide versus Caloric Restriction in People with Newly Diagnosed Type 2 Diabetes Mellitus and Overweight or Obesity: A Randomized Controlled Trial</w:t>
      </w:r>
    </w:p>
    <w:p w14:paraId="463EF797" w14:textId="77777777" w:rsidR="00C31C73" w:rsidRPr="00022800" w:rsidRDefault="00C31C73" w:rsidP="00F44628">
      <w:pPr>
        <w:pStyle w:val="41"/>
        <w:spacing w:line="240" w:lineRule="auto"/>
        <w:ind w:firstLineChars="0" w:firstLine="0"/>
        <w:jc w:val="left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05FC2CF8" w14:textId="174EDECA" w:rsidR="00C31C73" w:rsidRPr="00C31C73" w:rsidRDefault="00C31C73" w:rsidP="00F44628">
      <w:pPr>
        <w:spacing w:line="240" w:lineRule="auto"/>
        <w:rPr>
          <w:rFonts w:ascii="Arial" w:eastAsia="SimSun" w:hAnsi="Arial" w:cs="Arial"/>
          <w:b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 w:hint="eastAsia"/>
          <w:b/>
          <w:color w:val="000000" w:themeColor="text1"/>
          <w:kern w:val="0"/>
          <w:szCs w:val="22"/>
          <w14:ligatures w14:val="none"/>
        </w:rPr>
        <w:t>Background</w:t>
      </w:r>
    </w:p>
    <w:p w14:paraId="308B1787" w14:textId="3655DEBE" w:rsidR="00C31C73" w:rsidRPr="00C31C73" w:rsidRDefault="00C31C73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 w:hint="eastAsia"/>
          <w:bCs/>
          <w:color w:val="000000" w:themeColor="text1"/>
          <w:kern w:val="0"/>
          <w:szCs w:val="22"/>
          <w14:ligatures w14:val="none"/>
        </w:rPr>
        <w:t>Lifestyle intervention is recommended as initial therapy for newly diagnosed type 2 diabetes mellitus (T2DM). However, in patients with overweight or obesity, caloric restriction alone may be insufficient to achieve optimal metabolic control in early disease.</w:t>
      </w:r>
    </w:p>
    <w:p w14:paraId="4F7420C7" w14:textId="77777777" w:rsidR="00C31C73" w:rsidRDefault="00022800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022800">
        <w:rPr>
          <w:rFonts w:ascii="Arial" w:eastAsia="SimSun" w:hAnsi="Arial" w:cs="Arial"/>
          <w:b/>
          <w:color w:val="000000" w:themeColor="text1"/>
          <w:kern w:val="0"/>
          <w:szCs w:val="22"/>
          <w14:ligatures w14:val="none"/>
        </w:rPr>
        <w:t>Objective</w:t>
      </w:r>
    </w:p>
    <w:p w14:paraId="39271B82" w14:textId="24AB01E3" w:rsidR="00C31C73" w:rsidRDefault="00C31C73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>To compare the short-term clinical effects of once-weekly semaglutide and structured caloric restriction in adults with newly diagnosed T2DM and overweight or obesity.</w:t>
      </w:r>
    </w:p>
    <w:p w14:paraId="4580BA4F" w14:textId="6F7D68B7" w:rsidR="00C31C73" w:rsidRPr="00C31C73" w:rsidRDefault="00C31C73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/>
          <w:b/>
          <w:bCs/>
          <w:color w:val="000000" w:themeColor="text1"/>
          <w:kern w:val="0"/>
          <w:szCs w:val="22"/>
          <w14:ligatures w14:val="none"/>
        </w:rPr>
        <w:t>Methods</w:t>
      </w:r>
    </w:p>
    <w:p w14:paraId="76784D1A" w14:textId="77777777" w:rsidR="00C31C73" w:rsidRPr="00C31C73" w:rsidRDefault="00C31C73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>In this single-</w:t>
      </w:r>
      <w:proofErr w:type="spellStart"/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>centre</w:t>
      </w:r>
      <w:proofErr w:type="spellEnd"/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>, prospective randomized controlled trial, 147 adults (BMI ≥25 kg/m²) were assigned (1:1) to semaglutide or caloric restriction for 12 weeks.</w:t>
      </w:r>
    </w:p>
    <w:p w14:paraId="0032C793" w14:textId="77777777" w:rsidR="00C31C73" w:rsidRPr="00C31C73" w:rsidRDefault="00C31C73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 xml:space="preserve">The primary outcome was change in glycated </w:t>
      </w:r>
      <w:proofErr w:type="spellStart"/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>haemoglobin</w:t>
      </w:r>
      <w:proofErr w:type="spellEnd"/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 xml:space="preserve"> (HbA1c). Secondary outcomes included fasting plasma glucose, 2-hour postprandial glucose, body weight, insulin resistance (HOMA-IR), and hepatic fat content assessed by MRI-proton density fat fraction (MRI-PDFF). Analyses were performed according to the intention-to-treat principle.</w:t>
      </w:r>
    </w:p>
    <w:p w14:paraId="725EBEBE" w14:textId="4FB345D2" w:rsidR="00022800" w:rsidRDefault="00022800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022800">
        <w:rPr>
          <w:rFonts w:ascii="Arial" w:eastAsia="SimSun" w:hAnsi="Arial" w:cs="Arial"/>
          <w:b/>
          <w:color w:val="000000" w:themeColor="text1"/>
          <w:kern w:val="0"/>
          <w:szCs w:val="22"/>
          <w14:ligatures w14:val="none"/>
        </w:rPr>
        <w:t>Results</w:t>
      </w:r>
    </w:p>
    <w:p w14:paraId="15FFF200" w14:textId="77777777" w:rsidR="00C31C73" w:rsidRPr="00C31C73" w:rsidRDefault="00C31C73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>Of the 147 participants (mean age 39.3±11.5 years; 58.5% women), 94% completed follow-up.</w:t>
      </w:r>
    </w:p>
    <w:p w14:paraId="16F39ED4" w14:textId="77777777" w:rsidR="00C31C73" w:rsidRPr="00C31C73" w:rsidRDefault="00C31C73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 xml:space="preserve">Both groups demonstrated significant HbA1c reductions. The decrease was greater with semaglutide (between-group difference −0.57%; </w:t>
      </w:r>
      <w:r w:rsidRPr="00C31C73">
        <w:rPr>
          <w:rFonts w:ascii="Arial" w:eastAsia="SimSun" w:hAnsi="Arial" w:cs="Arial"/>
          <w:bCs/>
          <w:i/>
          <w:iCs/>
          <w:color w:val="000000" w:themeColor="text1"/>
          <w:kern w:val="0"/>
          <w:szCs w:val="22"/>
          <w14:ligatures w14:val="none"/>
        </w:rPr>
        <w:t>P</w:t>
      </w: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 xml:space="preserve">&lt;0.001). Compared with caloric restriction, semaglutide resulted in greater reductions in fasting glucose (−0.37 mmol/L; </w:t>
      </w:r>
      <w:r w:rsidRPr="00C31C73">
        <w:rPr>
          <w:rFonts w:ascii="Arial" w:eastAsia="SimSun" w:hAnsi="Arial" w:cs="Arial"/>
          <w:bCs/>
          <w:i/>
          <w:iCs/>
          <w:color w:val="000000" w:themeColor="text1"/>
          <w:kern w:val="0"/>
          <w:szCs w:val="22"/>
          <w14:ligatures w14:val="none"/>
        </w:rPr>
        <w:t>P</w:t>
      </w: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 xml:space="preserve">=0.003), 2-hour postprandial glucose (−2.39 mmol/L; </w:t>
      </w:r>
      <w:r w:rsidRPr="00C31C73">
        <w:rPr>
          <w:rFonts w:ascii="Arial" w:eastAsia="SimSun" w:hAnsi="Arial" w:cs="Arial"/>
          <w:bCs/>
          <w:i/>
          <w:iCs/>
          <w:color w:val="000000" w:themeColor="text1"/>
          <w:kern w:val="0"/>
          <w:szCs w:val="22"/>
          <w14:ligatures w14:val="none"/>
        </w:rPr>
        <w:t>P</w:t>
      </w: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>&lt;0.001), body weight, and HOMA-IR.</w:t>
      </w:r>
    </w:p>
    <w:p w14:paraId="786B4AC0" w14:textId="2B842F97" w:rsidR="00C31C73" w:rsidRPr="00022800" w:rsidRDefault="00C31C73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 xml:space="preserve">Hepatic fat content declined in both groups and was reduced to a greater extent with semaglutide (between-group difference −1.72%; </w:t>
      </w:r>
      <w:r w:rsidRPr="00C31C73">
        <w:rPr>
          <w:rFonts w:ascii="Arial" w:eastAsia="SimSun" w:hAnsi="Arial" w:cs="Arial"/>
          <w:bCs/>
          <w:i/>
          <w:iCs/>
          <w:color w:val="000000" w:themeColor="text1"/>
          <w:kern w:val="0"/>
          <w:szCs w:val="22"/>
          <w14:ligatures w14:val="none"/>
        </w:rPr>
        <w:t>P</w:t>
      </w:r>
      <w:r w:rsidRPr="00C31C73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>&lt;0.001). No serious adverse events were observed.</w:t>
      </w:r>
    </w:p>
    <w:p w14:paraId="1AE7C433" w14:textId="06785AF9" w:rsidR="00C31C73" w:rsidRDefault="00022800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022800">
        <w:rPr>
          <w:rFonts w:ascii="Arial" w:eastAsia="SimSun" w:hAnsi="Arial" w:cs="Arial"/>
          <w:b/>
          <w:color w:val="000000" w:themeColor="text1"/>
          <w:kern w:val="0"/>
          <w:szCs w:val="22"/>
          <w14:ligatures w14:val="none"/>
        </w:rPr>
        <w:t>Conclusions</w:t>
      </w:r>
      <w:r w:rsidRPr="00022800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br/>
      </w:r>
      <w:r w:rsidR="00C31C73" w:rsidRPr="00C31C73">
        <w:rPr>
          <w:rFonts w:ascii="Arial" w:eastAsia="SimSun" w:hAnsi="Arial" w:cs="Arial" w:hint="eastAsia"/>
          <w:bCs/>
          <w:color w:val="000000" w:themeColor="text1"/>
          <w:kern w:val="0"/>
          <w:szCs w:val="22"/>
          <w14:ligatures w14:val="none"/>
        </w:rPr>
        <w:t xml:space="preserve">In adults with newly diagnosed T2DM and overweight or obesity, early initiation of semaglutide achieved more substantial improvements in </w:t>
      </w:r>
      <w:proofErr w:type="spellStart"/>
      <w:r w:rsidR="00C31C73" w:rsidRPr="00C31C73">
        <w:rPr>
          <w:rFonts w:ascii="Arial" w:eastAsia="SimSun" w:hAnsi="Arial" w:cs="Arial" w:hint="eastAsia"/>
          <w:bCs/>
          <w:color w:val="000000" w:themeColor="text1"/>
          <w:kern w:val="0"/>
          <w:szCs w:val="22"/>
          <w14:ligatures w14:val="none"/>
        </w:rPr>
        <w:t>glycaemic</w:t>
      </w:r>
      <w:proofErr w:type="spellEnd"/>
      <w:r w:rsidR="00C31C73" w:rsidRPr="00C31C73">
        <w:rPr>
          <w:rFonts w:ascii="Arial" w:eastAsia="SimSun" w:hAnsi="Arial" w:cs="Arial" w:hint="eastAsia"/>
          <w:bCs/>
          <w:color w:val="000000" w:themeColor="text1"/>
          <w:kern w:val="0"/>
          <w:szCs w:val="22"/>
          <w14:ligatures w14:val="none"/>
        </w:rPr>
        <w:t xml:space="preserve"> control, weight, insulin resistance, and hepatic steatosis compared with caloric restriction alone over 12 weeks.</w:t>
      </w:r>
      <w:r w:rsidR="00234CD0">
        <w:rPr>
          <w:rFonts w:ascii="Arial" w:eastAsia="SimSun" w:hAnsi="Arial" w:cs="Arial" w:hint="eastAsia"/>
          <w:bCs/>
          <w:color w:val="000000" w:themeColor="text1"/>
          <w:kern w:val="0"/>
          <w:szCs w:val="22"/>
          <w14:ligatures w14:val="none"/>
        </w:rPr>
        <w:t xml:space="preserve"> </w:t>
      </w:r>
      <w:r w:rsidR="00C31C73" w:rsidRPr="00C31C73">
        <w:rPr>
          <w:rFonts w:ascii="Arial" w:eastAsia="SimSun" w:hAnsi="Arial" w:cs="Arial" w:hint="eastAsia"/>
          <w:bCs/>
          <w:color w:val="000000" w:themeColor="text1"/>
          <w:kern w:val="0"/>
          <w:szCs w:val="22"/>
          <w14:ligatures w14:val="none"/>
        </w:rPr>
        <w:t>These findings highlight the potential role of early pharmacological intervention in optimizing metabolic outcomes in high-risk patients.</w:t>
      </w:r>
    </w:p>
    <w:p w14:paraId="769CC454" w14:textId="0B639C51" w:rsidR="000C67BD" w:rsidRPr="00AB2E9B" w:rsidRDefault="00022800" w:rsidP="00F44628">
      <w:pPr>
        <w:spacing w:line="240" w:lineRule="auto"/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</w:pPr>
      <w:r w:rsidRPr="00022800">
        <w:rPr>
          <w:rFonts w:ascii="Arial" w:eastAsia="SimSun" w:hAnsi="Arial" w:cs="Arial"/>
          <w:b/>
          <w:color w:val="000000" w:themeColor="text1"/>
          <w:kern w:val="0"/>
          <w:szCs w:val="22"/>
          <w14:ligatures w14:val="none"/>
        </w:rPr>
        <w:t>Keywords:</w:t>
      </w:r>
      <w:r w:rsidRPr="00022800">
        <w:rPr>
          <w:rFonts w:ascii="Arial" w:eastAsia="SimSun" w:hAnsi="Arial" w:cs="Arial"/>
          <w:bCs/>
          <w:color w:val="000000" w:themeColor="text1"/>
          <w:kern w:val="0"/>
          <w:szCs w:val="22"/>
          <w14:ligatures w14:val="none"/>
        </w:rPr>
        <w:t xml:space="preserve"> Type 2 diabetes mellitus; Overweight or obesity; Semaglutide; Caloric restriction</w:t>
      </w:r>
    </w:p>
    <w:sectPr w:rsidR="000C67BD" w:rsidRPr="00AB2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164B" w14:textId="77777777" w:rsidR="006513D8" w:rsidRDefault="006513D8" w:rsidP="00CE64FC">
      <w:pPr>
        <w:spacing w:after="0" w:line="240" w:lineRule="auto"/>
      </w:pPr>
      <w:r>
        <w:separator/>
      </w:r>
    </w:p>
  </w:endnote>
  <w:endnote w:type="continuationSeparator" w:id="0">
    <w:p w14:paraId="1316F486" w14:textId="77777777" w:rsidR="006513D8" w:rsidRDefault="006513D8" w:rsidP="00CE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66A2" w14:textId="77777777" w:rsidR="006513D8" w:rsidRDefault="006513D8" w:rsidP="00CE64FC">
      <w:pPr>
        <w:spacing w:after="0" w:line="240" w:lineRule="auto"/>
      </w:pPr>
      <w:r>
        <w:separator/>
      </w:r>
    </w:p>
  </w:footnote>
  <w:footnote w:type="continuationSeparator" w:id="0">
    <w:p w14:paraId="2AB1DB1C" w14:textId="77777777" w:rsidR="006513D8" w:rsidRDefault="006513D8" w:rsidP="00CE6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4"/>
    <w:rsid w:val="00022800"/>
    <w:rsid w:val="000C67BD"/>
    <w:rsid w:val="0015721F"/>
    <w:rsid w:val="00184769"/>
    <w:rsid w:val="00234CD0"/>
    <w:rsid w:val="005B51B4"/>
    <w:rsid w:val="006513D8"/>
    <w:rsid w:val="00652DFE"/>
    <w:rsid w:val="006660AF"/>
    <w:rsid w:val="007458B8"/>
    <w:rsid w:val="007C4BA2"/>
    <w:rsid w:val="007F14D5"/>
    <w:rsid w:val="008F5EE8"/>
    <w:rsid w:val="009C69DB"/>
    <w:rsid w:val="00A5416E"/>
    <w:rsid w:val="00AB2E9B"/>
    <w:rsid w:val="00B6233A"/>
    <w:rsid w:val="00B7201C"/>
    <w:rsid w:val="00C05ECD"/>
    <w:rsid w:val="00C31C73"/>
    <w:rsid w:val="00CE64FC"/>
    <w:rsid w:val="00D05944"/>
    <w:rsid w:val="00D34A0C"/>
    <w:rsid w:val="00F26B27"/>
    <w:rsid w:val="00F44628"/>
    <w:rsid w:val="00F85006"/>
    <w:rsid w:val="00F9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01759"/>
  <w15:chartTrackingRefBased/>
  <w15:docId w15:val="{A4E22FCF-1F79-4699-A263-E60E9035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5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944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944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944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94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94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94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05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9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9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9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4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64F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64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64FC"/>
    <w:rPr>
      <w:sz w:val="18"/>
      <w:szCs w:val="18"/>
    </w:rPr>
  </w:style>
  <w:style w:type="paragraph" w:customStyle="1" w:styleId="3-1">
    <w:name w:val="3-1"/>
    <w:basedOn w:val="Normal"/>
    <w:qFormat/>
    <w:rsid w:val="00CE64FC"/>
    <w:pPr>
      <w:widowControl/>
      <w:shd w:val="clear" w:color="auto" w:fill="FFFFFF"/>
      <w:tabs>
        <w:tab w:val="center" w:pos="4139"/>
        <w:tab w:val="left" w:pos="7545"/>
        <w:tab w:val="right" w:leader="middleDot" w:pos="7740"/>
      </w:tabs>
      <w:spacing w:beforeLines="50" w:before="50" w:afterLines="50" w:after="50" w:line="240" w:lineRule="auto"/>
    </w:pPr>
    <w:rPr>
      <w:rFonts w:ascii="Times New Roman" w:eastAsia="SimSun" w:hAnsi="Times New Roman" w:cs="Times New Roman"/>
      <w:b/>
      <w:color w:val="000000" w:themeColor="text1"/>
      <w:kern w:val="0"/>
      <w:sz w:val="26"/>
      <w:szCs w:val="32"/>
      <w14:ligatures w14:val="none"/>
    </w:rPr>
  </w:style>
  <w:style w:type="paragraph" w:customStyle="1" w:styleId="4">
    <w:name w:val="4段落文字"/>
    <w:basedOn w:val="Normal"/>
    <w:link w:val="40"/>
    <w:autoRedefine/>
    <w:rsid w:val="00CE64FC"/>
    <w:pPr>
      <w:widowControl/>
      <w:shd w:val="clear" w:color="auto" w:fill="FFFFFF"/>
      <w:tabs>
        <w:tab w:val="center" w:pos="4139"/>
        <w:tab w:val="left" w:pos="7545"/>
        <w:tab w:val="right" w:leader="middleDot" w:pos="7740"/>
      </w:tabs>
      <w:spacing w:after="0" w:line="400" w:lineRule="exact"/>
      <w:ind w:right="238" w:firstLineChars="200" w:firstLine="480"/>
    </w:pPr>
    <w:rPr>
      <w:rFonts w:ascii="Times New Roman" w:eastAsia="SimSu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customStyle="1" w:styleId="40">
    <w:name w:val="4段落文字 字符"/>
    <w:link w:val="4"/>
    <w:autoRedefine/>
    <w:qFormat/>
    <w:rsid w:val="00CE64FC"/>
    <w:rPr>
      <w:rFonts w:ascii="Times New Roman" w:eastAsia="SimSun" w:hAnsi="Times New Roman" w:cs="Times New Roman"/>
      <w:color w:val="000000" w:themeColor="text1"/>
      <w:kern w:val="0"/>
      <w:sz w:val="24"/>
      <w:szCs w:val="28"/>
      <w:shd w:val="clear" w:color="auto" w:fill="FFFFFF"/>
      <w14:ligatures w14:val="none"/>
    </w:rPr>
  </w:style>
  <w:style w:type="paragraph" w:customStyle="1" w:styleId="41">
    <w:name w:val="4"/>
    <w:basedOn w:val="Normal"/>
    <w:qFormat/>
    <w:rsid w:val="00CE64FC"/>
    <w:pPr>
      <w:shd w:val="clear" w:color="auto" w:fill="FFFFFF"/>
      <w:tabs>
        <w:tab w:val="center" w:pos="4139"/>
        <w:tab w:val="left" w:pos="7545"/>
        <w:tab w:val="right" w:leader="middleDot" w:pos="7740"/>
      </w:tabs>
      <w:spacing w:after="0" w:line="400" w:lineRule="exact"/>
      <w:ind w:firstLineChars="200" w:firstLine="200"/>
      <w:jc w:val="both"/>
    </w:pPr>
    <w:rPr>
      <w:rFonts w:ascii="Times New Roman" w:eastAsia="SimSun" w:hAnsi="Times New Roman" w:cs="Times New Roman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CE64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A3351F-831C-4036-ACEB-D866BF4A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6EC44-FAAF-4095-B4BD-AE3C55981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0AA7C-DC5C-4BDC-AA6F-AC9F014680F6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1941</Characters>
  <Application>Microsoft Office Word</Application>
  <DocSecurity>0</DocSecurity>
  <Lines>47</Lines>
  <Paragraphs>7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礼暄 方</dc:creator>
  <cp:keywords/>
  <dc:description/>
  <cp:lastModifiedBy>Tanya Yandall</cp:lastModifiedBy>
  <cp:revision>3</cp:revision>
  <dcterms:created xsi:type="dcterms:W3CDTF">2026-02-18T03:52:00Z</dcterms:created>
  <dcterms:modified xsi:type="dcterms:W3CDTF">2026-02-18T03:52:00Z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