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B18F" w14:textId="6580EE93" w:rsidR="00006760" w:rsidRPr="0056734C" w:rsidRDefault="00394D60" w:rsidP="0056734C">
      <w:pPr>
        <w:spacing w:before="180" w:after="180" w:line="240" w:lineRule="auto"/>
        <w:rPr>
          <w:b/>
          <w:bCs/>
        </w:rPr>
      </w:pPr>
      <w:r w:rsidRPr="0056734C">
        <w:rPr>
          <w:b/>
          <w:bCs/>
        </w:rPr>
        <w:t>Evaluating a Hybrid Diabetes Education Program for Nurses in NSLHD (2025): Building Capability Across Primary and Community Healthcare Settings</w:t>
      </w:r>
    </w:p>
    <w:p w14:paraId="0000000B" w14:textId="72BD64EB" w:rsidR="00196B8E" w:rsidRPr="0056734C" w:rsidRDefault="001B4212" w:rsidP="0056734C">
      <w:pPr>
        <w:spacing w:after="160" w:line="240" w:lineRule="auto"/>
        <w:rPr>
          <w:rFonts w:eastAsia="Times New Roman"/>
        </w:rPr>
      </w:pPr>
      <w:r w:rsidRPr="0056734C">
        <w:rPr>
          <w:rFonts w:eastAsia="Times New Roman"/>
          <w:b/>
        </w:rPr>
        <w:t>Background &amp; Aim:</w:t>
      </w:r>
      <w:r w:rsidRPr="0056734C">
        <w:rPr>
          <w:rFonts w:eastAsia="Times New Roman"/>
          <w:b/>
        </w:rPr>
        <w:br/>
      </w:r>
      <w:r w:rsidRPr="0056734C">
        <w:rPr>
          <w:rFonts w:eastAsia="Times New Roman"/>
        </w:rPr>
        <w:t>In alignment with the Australian National Diabetes Strategy 2021–2030</w:t>
      </w:r>
      <w:r w:rsidR="00006760" w:rsidRPr="0056734C">
        <w:rPr>
          <w:rFonts w:eastAsia="Times New Roman"/>
          <w:vertAlign w:val="superscript"/>
        </w:rPr>
        <w:t>1</w:t>
      </w:r>
      <w:r w:rsidRPr="0056734C">
        <w:rPr>
          <w:rFonts w:eastAsia="Times New Roman"/>
        </w:rPr>
        <w:t>, Royal North Shore Hospital’s Diabetes Service hosted a hybrid Diabetes Education Program in March 2025 to strengthen the capability of nurses in primary and community healthcare settings. Many nurses manage people with diabetes but lack access to structured, multidisciplinary training. Program content was informed by surveys from participants of the previous two years’ programs to ensure relevance. Developed and delivered by Diabetes Educators, a Nurse Practitioner, Dietitians, and guest speakers including an Endocrinologist, Renal CNC, and Podiatrists, the program aimed to equip nurses with up-to-date knowledge and skills, improve understanding of referral pathways and services, and promote integrated car</w:t>
      </w:r>
      <w:r w:rsidR="0082777A" w:rsidRPr="0056734C">
        <w:rPr>
          <w:rFonts w:eastAsia="Times New Roman"/>
        </w:rPr>
        <w:t xml:space="preserve">e and professional networking. </w:t>
      </w:r>
    </w:p>
    <w:p w14:paraId="0000000C" w14:textId="454DE0E5" w:rsidR="00196B8E" w:rsidRPr="0056734C" w:rsidRDefault="001B4212" w:rsidP="0056734C">
      <w:pPr>
        <w:spacing w:after="160" w:line="240" w:lineRule="auto"/>
        <w:rPr>
          <w:rFonts w:eastAsia="Times New Roman"/>
        </w:rPr>
      </w:pPr>
      <w:r w:rsidRPr="0056734C">
        <w:rPr>
          <w:rFonts w:eastAsia="Times New Roman"/>
          <w:b/>
        </w:rPr>
        <w:t>Methods:</w:t>
      </w:r>
      <w:r w:rsidRPr="0056734C">
        <w:rPr>
          <w:rFonts w:eastAsia="Times New Roman"/>
          <w:b/>
        </w:rPr>
        <w:br/>
      </w:r>
      <w:r w:rsidRPr="0056734C">
        <w:rPr>
          <w:rFonts w:eastAsia="Times New Roman"/>
        </w:rPr>
        <w:t xml:space="preserve">The hybrid format </w:t>
      </w:r>
      <w:r w:rsidR="0082777A" w:rsidRPr="0056734C">
        <w:rPr>
          <w:rFonts w:eastAsia="Times New Roman"/>
        </w:rPr>
        <w:t xml:space="preserve">education program </w:t>
      </w:r>
      <w:r w:rsidRPr="0056734C">
        <w:rPr>
          <w:rFonts w:eastAsia="Times New Roman"/>
        </w:rPr>
        <w:t xml:space="preserve">included lectures, case discussions, and workshops </w:t>
      </w:r>
      <w:r w:rsidR="0082777A" w:rsidRPr="0056734C">
        <w:rPr>
          <w:rFonts w:eastAsia="Times New Roman"/>
        </w:rPr>
        <w:t xml:space="preserve">was </w:t>
      </w:r>
      <w:r w:rsidRPr="0056734C">
        <w:rPr>
          <w:rFonts w:eastAsia="Times New Roman"/>
        </w:rPr>
        <w:t xml:space="preserve">delivered both face-to-face and online. Pre- and post-program knowledge tests and participant feedback were collected using </w:t>
      </w:r>
      <w:proofErr w:type="spellStart"/>
      <w:r w:rsidRPr="0056734C">
        <w:rPr>
          <w:rFonts w:eastAsia="Times New Roman"/>
        </w:rPr>
        <w:t>REDCap</w:t>
      </w:r>
      <w:proofErr w:type="spellEnd"/>
      <w:r w:rsidRPr="0056734C">
        <w:rPr>
          <w:rFonts w:eastAsia="Times New Roman"/>
        </w:rPr>
        <w:t xml:space="preserve"> to assess </w:t>
      </w:r>
      <w:r w:rsidR="0082777A" w:rsidRPr="0056734C">
        <w:rPr>
          <w:rFonts w:eastAsia="Times New Roman"/>
        </w:rPr>
        <w:t>the effectiveness of the program</w:t>
      </w:r>
      <w:r w:rsidRPr="0056734C">
        <w:rPr>
          <w:rFonts w:eastAsia="Times New Roman"/>
        </w:rPr>
        <w:t xml:space="preserve"> and inform future improvements.</w:t>
      </w:r>
    </w:p>
    <w:p w14:paraId="0000000D" w14:textId="77777777" w:rsidR="00196B8E" w:rsidRPr="0056734C" w:rsidRDefault="001B4212" w:rsidP="0056734C">
      <w:pPr>
        <w:spacing w:after="160" w:line="240" w:lineRule="auto"/>
        <w:rPr>
          <w:rFonts w:eastAsia="Times New Roman"/>
        </w:rPr>
      </w:pPr>
      <w:r w:rsidRPr="0056734C">
        <w:rPr>
          <w:rFonts w:eastAsia="Times New Roman"/>
          <w:b/>
        </w:rPr>
        <w:t>Results:</w:t>
      </w:r>
      <w:r w:rsidRPr="0056734C">
        <w:rPr>
          <w:rFonts w:eastAsia="Times New Roman"/>
          <w:b/>
        </w:rPr>
        <w:br/>
      </w:r>
      <w:r w:rsidRPr="0056734C">
        <w:rPr>
          <w:rFonts w:eastAsia="Times New Roman"/>
        </w:rPr>
        <w:t>Participant feedback highlighted six key strengths: updated clinical guidelines and technology, multidisciplinary speakers, hands-on workshops, case discussions, hospital diabetes care insights, and nutrition and weight management. Knowledge tests showed significant improvements in areas including very low energy diets and medication adjustment, blood glucose monitoring, and mealtime insulin use. While understanding of podiatry referrals improved, knowledge gaps remained. Strong baseline understanding with further gains was observed for referral processes and SGLT2 inhibitor use. Other topics showed modest improvements.</w:t>
      </w:r>
    </w:p>
    <w:p w14:paraId="5602EDF2" w14:textId="1E4D6BB3" w:rsidR="00006760" w:rsidRPr="0056734C" w:rsidRDefault="001B4212" w:rsidP="0056734C">
      <w:pPr>
        <w:spacing w:after="160" w:line="240" w:lineRule="auto"/>
        <w:rPr>
          <w:rFonts w:eastAsia="Times New Roman"/>
        </w:rPr>
      </w:pPr>
      <w:r w:rsidRPr="0056734C">
        <w:rPr>
          <w:rFonts w:eastAsia="Times New Roman"/>
          <w:b/>
        </w:rPr>
        <w:t>Discussion &amp; Conclusion:</w:t>
      </w:r>
      <w:r w:rsidRPr="0056734C">
        <w:rPr>
          <w:rFonts w:eastAsia="Times New Roman"/>
          <w:b/>
        </w:rPr>
        <w:br/>
      </w:r>
      <w:r w:rsidRPr="0056734C">
        <w:rPr>
          <w:rFonts w:eastAsia="Times New Roman"/>
        </w:rPr>
        <w:t>Participants reported increased confidence and valued the interactive, multidisciplinary format. Suggestions included more case-based content, longer sessions, and expanded focus on CGMs and foot health. In response to requests, slides</w:t>
      </w:r>
      <w:r w:rsidR="0082777A" w:rsidRPr="0056734C">
        <w:rPr>
          <w:rFonts w:eastAsia="Times New Roman"/>
        </w:rPr>
        <w:t xml:space="preserve">, knowledge test answers, and NDSS online learning resources </w:t>
      </w:r>
      <w:r w:rsidRPr="0056734C">
        <w:rPr>
          <w:rFonts w:eastAsia="Times New Roman"/>
        </w:rPr>
        <w:t xml:space="preserve">were shared to support ongoing </w:t>
      </w:r>
      <w:r w:rsidR="0082777A" w:rsidRPr="0056734C">
        <w:rPr>
          <w:rFonts w:eastAsia="Times New Roman"/>
        </w:rPr>
        <w:t>up-skilling</w:t>
      </w:r>
      <w:r w:rsidRPr="0056734C">
        <w:rPr>
          <w:rFonts w:eastAsia="Times New Roman"/>
        </w:rPr>
        <w:t xml:space="preserve">. </w:t>
      </w:r>
      <w:proofErr w:type="gramStart"/>
      <w:r w:rsidRPr="0056734C">
        <w:rPr>
          <w:rFonts w:eastAsia="Times New Roman"/>
        </w:rPr>
        <w:t>Future plans</w:t>
      </w:r>
      <w:proofErr w:type="gramEnd"/>
      <w:r w:rsidRPr="0056734C">
        <w:rPr>
          <w:rFonts w:eastAsia="Times New Roman"/>
        </w:rPr>
        <w:t xml:space="preserve"> include an advanced session on blood glucose monitoring and data interpretation, catering to nurses seeking further expertise. </w:t>
      </w:r>
    </w:p>
    <w:p w14:paraId="0B030C1D" w14:textId="507DD5D0" w:rsidR="00006760" w:rsidRPr="0056734C" w:rsidRDefault="00006760" w:rsidP="0056734C">
      <w:pPr>
        <w:spacing w:line="240" w:lineRule="auto"/>
        <w:rPr>
          <w:b/>
          <w:bCs/>
          <w:lang w:val="en-AU"/>
        </w:rPr>
      </w:pPr>
      <w:r w:rsidRPr="0056734C">
        <w:rPr>
          <w:b/>
          <w:bCs/>
          <w:lang w:val="en-AU"/>
        </w:rPr>
        <w:t>Reference</w:t>
      </w:r>
    </w:p>
    <w:p w14:paraId="09D0AD78" w14:textId="77777777" w:rsidR="00006760" w:rsidRPr="0056734C" w:rsidRDefault="00006760" w:rsidP="0056734C">
      <w:pPr>
        <w:spacing w:line="240" w:lineRule="auto"/>
        <w:rPr>
          <w:lang w:val="en-AU"/>
        </w:rPr>
      </w:pPr>
    </w:p>
    <w:p w14:paraId="4CF5C05E" w14:textId="190C6172" w:rsidR="00006760" w:rsidRPr="0056734C" w:rsidRDefault="00006760" w:rsidP="0056734C">
      <w:pPr>
        <w:spacing w:line="240" w:lineRule="auto"/>
        <w:rPr>
          <w:lang w:val="en-AU"/>
        </w:rPr>
      </w:pPr>
      <w:r w:rsidRPr="0056734C">
        <w:rPr>
          <w:lang w:val="en-AU"/>
        </w:rPr>
        <w:t xml:space="preserve">1.Australian Government Department of Health and Aged Care. (2021). </w:t>
      </w:r>
      <w:r w:rsidRPr="0056734C">
        <w:rPr>
          <w:i/>
          <w:iCs/>
          <w:lang w:val="en-AU"/>
        </w:rPr>
        <w:t xml:space="preserve">Australian National Diabetes Strategy 2021–2030. </w:t>
      </w:r>
      <w:r w:rsidRPr="0056734C">
        <w:rPr>
          <w:lang w:val="en-AU"/>
        </w:rPr>
        <w:t xml:space="preserve">Australian Government Department of Health and Aged Care. </w:t>
      </w:r>
      <w:hyperlink r:id="rId7" w:history="1">
        <w:r w:rsidRPr="0056734C">
          <w:rPr>
            <w:rStyle w:val="Hyperlink"/>
          </w:rPr>
          <w:t>Australian National Diabetes Strategy 2021-2030</w:t>
        </w:r>
      </w:hyperlink>
    </w:p>
    <w:p w14:paraId="3E89DF48" w14:textId="77777777" w:rsidR="00006760" w:rsidRPr="0056734C" w:rsidRDefault="00006760" w:rsidP="0056734C">
      <w:pPr>
        <w:spacing w:line="240" w:lineRule="auto"/>
        <w:rPr>
          <w:lang w:val="en-AU"/>
        </w:rPr>
      </w:pPr>
    </w:p>
    <w:p w14:paraId="5B162854" w14:textId="1CCFA886" w:rsidR="00006760" w:rsidRPr="0056734C" w:rsidRDefault="00006760" w:rsidP="0056734C">
      <w:pPr>
        <w:spacing w:line="240" w:lineRule="auto"/>
        <w:rPr>
          <w:lang w:val="en-AU"/>
        </w:rPr>
      </w:pPr>
    </w:p>
    <w:sectPr w:rsidR="00006760" w:rsidRPr="0056734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8E"/>
    <w:rsid w:val="00006760"/>
    <w:rsid w:val="00054E71"/>
    <w:rsid w:val="001049FE"/>
    <w:rsid w:val="00150E86"/>
    <w:rsid w:val="00196B8E"/>
    <w:rsid w:val="001B4212"/>
    <w:rsid w:val="001B5ECA"/>
    <w:rsid w:val="00394D60"/>
    <w:rsid w:val="0056734C"/>
    <w:rsid w:val="008277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DF47"/>
  <w15:docId w15:val="{356A20C7-CBD1-4C1E-8887-BECDD55B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06760"/>
    <w:rPr>
      <w:color w:val="0000FF" w:themeColor="hyperlink"/>
      <w:u w:val="single"/>
    </w:rPr>
  </w:style>
  <w:style w:type="character" w:styleId="UnresolvedMention">
    <w:name w:val="Unresolved Mention"/>
    <w:basedOn w:val="DefaultParagraphFont"/>
    <w:uiPriority w:val="99"/>
    <w:semiHidden/>
    <w:unhideWhenUsed/>
    <w:rsid w:val="00006760"/>
    <w:rPr>
      <w:color w:val="605E5C"/>
      <w:shd w:val="clear" w:color="auto" w:fill="E1DFDD"/>
    </w:rPr>
  </w:style>
  <w:style w:type="character" w:styleId="FollowedHyperlink">
    <w:name w:val="FollowedHyperlink"/>
    <w:basedOn w:val="DefaultParagraphFont"/>
    <w:uiPriority w:val="99"/>
    <w:semiHidden/>
    <w:unhideWhenUsed/>
    <w:rsid w:val="000067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ealth.gov.au/sites/default/files/documents/2021/11/australian-national-diabetes-strategy-2021-203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A51E22-7718-49C4-AD81-208E5435F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60774-90DA-4DD9-90EE-7E2FF1F2DC76}">
  <ds:schemaRefs>
    <ds:schemaRef ds:uri="http://schemas.microsoft.com/sharepoint/v3/contenttype/forms"/>
  </ds:schemaRefs>
</ds:datastoreItem>
</file>

<file path=customXml/itemProps3.xml><?xml version="1.0" encoding="utf-8"?>
<ds:datastoreItem xmlns:ds="http://schemas.openxmlformats.org/officeDocument/2006/customXml" ds:itemID="{8153E91C-A8CC-4751-9F1F-87FC84049E69}">
  <ds:schemaRefs>
    <ds:schemaRef ds:uri="http://purl.org/dc/terms/"/>
    <ds:schemaRef ds:uri="9c8a2b7b-0bee-4c48-b0a6-23db8982d3b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cab52c9b-ab33-4221-8af9-54f8f2b86a80"/>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Jiahua Wu (Northern Sydney LHD)</dc:creator>
  <cp:lastModifiedBy>Tanya Yandall</cp:lastModifiedBy>
  <cp:revision>3</cp:revision>
  <dcterms:created xsi:type="dcterms:W3CDTF">2025-05-20T05:54:00Z</dcterms:created>
  <dcterms:modified xsi:type="dcterms:W3CDTF">2025-05-20T05:55:00Z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2025-05-19T03:48:37Z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5afea331-5625-46f3-84b9-d065f826997f</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y fmtid="{D5CDD505-2E9C-101B-9397-08002B2CF9AE}" pid="10" name="ContentTypeId">
    <vt:lpwstr>0x01010004DB0B76CE105D459F58063C0D0B3831</vt:lpwstr>
  </property>
  <property fmtid="{D5CDD505-2E9C-101B-9397-08002B2CF9AE}" pid="11" name="MediaServiceImageTags">
    <vt:lpwstr/>
  </property>
</Properties>
</file>