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>
        <w:tc>
          <w:tcPr>
            <w:tcW w:w="8640" w:type="dxa"/>
          </w:tcPr>
          <w:p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:rsidR="00524074" w:rsidRPr="00242808" w:rsidRDefault="00524074" w:rsidP="006317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4074">
              <w:rPr>
                <w:rFonts w:ascii="Arial" w:hAnsi="Arial" w:cs="Arial"/>
                <w:sz w:val="22"/>
                <w:szCs w:val="22"/>
              </w:rPr>
              <w:t xml:space="preserve">A whole of community response to </w:t>
            </w:r>
            <w:r w:rsidR="006317A0">
              <w:rPr>
                <w:rFonts w:ascii="Arial" w:hAnsi="Arial" w:cs="Arial"/>
                <w:sz w:val="22"/>
                <w:szCs w:val="22"/>
              </w:rPr>
              <w:t>c</w:t>
            </w:r>
            <w:r w:rsidRPr="00524074">
              <w:rPr>
                <w:rFonts w:ascii="Arial" w:hAnsi="Arial" w:cs="Arial"/>
                <w:sz w:val="22"/>
                <w:szCs w:val="22"/>
              </w:rPr>
              <w:t xml:space="preserve">hildhood </w:t>
            </w:r>
            <w:r w:rsidR="006317A0">
              <w:rPr>
                <w:rFonts w:ascii="Arial" w:hAnsi="Arial" w:cs="Arial"/>
                <w:sz w:val="22"/>
                <w:szCs w:val="22"/>
              </w:rPr>
              <w:t>o</w:t>
            </w:r>
            <w:r w:rsidRPr="00524074">
              <w:rPr>
                <w:rFonts w:ascii="Arial" w:hAnsi="Arial" w:cs="Arial"/>
                <w:sz w:val="22"/>
                <w:szCs w:val="22"/>
              </w:rPr>
              <w:t xml:space="preserve">besity in an </w:t>
            </w:r>
            <w:r>
              <w:rPr>
                <w:rFonts w:ascii="Arial" w:hAnsi="Arial" w:cs="Arial"/>
                <w:sz w:val="22"/>
                <w:szCs w:val="22"/>
              </w:rPr>
              <w:t xml:space="preserve">Australian </w:t>
            </w:r>
            <w:r w:rsidRPr="00524074">
              <w:rPr>
                <w:rFonts w:ascii="Arial" w:hAnsi="Arial" w:cs="Arial"/>
                <w:sz w:val="22"/>
                <w:szCs w:val="22"/>
              </w:rPr>
              <w:t>urban setting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7FC8" w:rsidRPr="0003525D" w:rsidTr="00D71EFE">
        <w:trPr>
          <w:trHeight w:val="7663"/>
        </w:trPr>
        <w:tc>
          <w:tcPr>
            <w:tcW w:w="8640" w:type="dxa"/>
          </w:tcPr>
          <w:p w:rsidR="009C7B98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:rsidR="00524074" w:rsidRPr="00524074" w:rsidRDefault="00524074" w:rsidP="00524074">
            <w:pPr>
              <w:rPr>
                <w:rFonts w:ascii="Arial" w:hAnsi="Arial" w:cs="Arial"/>
                <w:sz w:val="22"/>
                <w:szCs w:val="22"/>
              </w:rPr>
            </w:pPr>
            <w:r w:rsidRPr="00524074">
              <w:rPr>
                <w:rFonts w:ascii="Arial" w:hAnsi="Arial" w:cs="Arial"/>
                <w:sz w:val="22"/>
                <w:szCs w:val="22"/>
              </w:rPr>
              <w:t>Campbelltown Local Government Area (LGA) is a vibrant and multicultural area, located about 55 kil</w:t>
            </w:r>
            <w:r w:rsidR="006F5F7E">
              <w:rPr>
                <w:rFonts w:ascii="Arial" w:hAnsi="Arial" w:cs="Arial"/>
                <w:sz w:val="22"/>
                <w:szCs w:val="22"/>
              </w:rPr>
              <w:t>ometres south west of Sydney</w:t>
            </w:r>
            <w:r w:rsidR="006317A0">
              <w:rPr>
                <w:rFonts w:ascii="Arial" w:hAnsi="Arial" w:cs="Arial"/>
                <w:sz w:val="22"/>
                <w:szCs w:val="22"/>
              </w:rPr>
              <w:t>, Australia</w:t>
            </w:r>
            <w:r w:rsidRPr="00524074">
              <w:rPr>
                <w:rFonts w:ascii="Arial" w:hAnsi="Arial" w:cs="Arial"/>
                <w:sz w:val="22"/>
                <w:szCs w:val="22"/>
              </w:rPr>
              <w:t xml:space="preserve">. The LGA is ranked below </w:t>
            </w:r>
            <w:r w:rsidR="005B413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F5F7E">
              <w:rPr>
                <w:rFonts w:ascii="Arial" w:hAnsi="Arial" w:cs="Arial"/>
                <w:sz w:val="22"/>
                <w:szCs w:val="22"/>
              </w:rPr>
              <w:t>national</w:t>
            </w:r>
            <w:r w:rsidRPr="00524074">
              <w:rPr>
                <w:rFonts w:ascii="Arial" w:hAnsi="Arial" w:cs="Arial"/>
                <w:sz w:val="22"/>
                <w:szCs w:val="22"/>
              </w:rPr>
              <w:t xml:space="preserve"> average of relative socioeconomic disadvantage and is undergoing exponential population growth and urban development. In N</w:t>
            </w:r>
            <w:r w:rsidR="006317A0">
              <w:rPr>
                <w:rFonts w:ascii="Arial" w:hAnsi="Arial" w:cs="Arial"/>
                <w:sz w:val="22"/>
                <w:szCs w:val="22"/>
              </w:rPr>
              <w:t xml:space="preserve">ew </w:t>
            </w:r>
            <w:r w:rsidRPr="00524074">
              <w:rPr>
                <w:rFonts w:ascii="Arial" w:hAnsi="Arial" w:cs="Arial"/>
                <w:sz w:val="22"/>
                <w:szCs w:val="22"/>
              </w:rPr>
              <w:t>S</w:t>
            </w:r>
            <w:r w:rsidR="006317A0">
              <w:rPr>
                <w:rFonts w:ascii="Arial" w:hAnsi="Arial" w:cs="Arial"/>
                <w:sz w:val="22"/>
                <w:szCs w:val="22"/>
              </w:rPr>
              <w:t xml:space="preserve">outh </w:t>
            </w:r>
            <w:r w:rsidRPr="00524074">
              <w:rPr>
                <w:rFonts w:ascii="Arial" w:hAnsi="Arial" w:cs="Arial"/>
                <w:sz w:val="22"/>
                <w:szCs w:val="22"/>
              </w:rPr>
              <w:t>W</w:t>
            </w:r>
            <w:r w:rsidR="006317A0">
              <w:rPr>
                <w:rFonts w:ascii="Arial" w:hAnsi="Arial" w:cs="Arial"/>
                <w:sz w:val="22"/>
                <w:szCs w:val="22"/>
              </w:rPr>
              <w:t>ales</w:t>
            </w:r>
            <w:r w:rsidRPr="00524074">
              <w:rPr>
                <w:rFonts w:ascii="Arial" w:hAnsi="Arial" w:cs="Arial"/>
                <w:sz w:val="22"/>
                <w:szCs w:val="22"/>
              </w:rPr>
              <w:t xml:space="preserve"> 24% of children are reported as being overweight or obese, increasing to 28% in south western Sydney, with disadvantaged, Aboriginal and some CALD populations at greater risk. Current evidence indicates the most effective interventions to address </w:t>
            </w:r>
            <w:r w:rsidR="006317A0">
              <w:rPr>
                <w:rFonts w:ascii="Arial" w:hAnsi="Arial" w:cs="Arial"/>
                <w:sz w:val="22"/>
                <w:szCs w:val="22"/>
              </w:rPr>
              <w:t>c</w:t>
            </w:r>
            <w:r w:rsidRPr="00524074">
              <w:rPr>
                <w:rFonts w:ascii="Arial" w:hAnsi="Arial" w:cs="Arial"/>
                <w:sz w:val="22"/>
                <w:szCs w:val="22"/>
              </w:rPr>
              <w:t xml:space="preserve">hildhood overweight and obesity are multi-strategic and community-led. </w:t>
            </w:r>
          </w:p>
          <w:p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:rsidR="00524074" w:rsidRPr="00524074" w:rsidRDefault="00524074" w:rsidP="00524074">
            <w:pPr>
              <w:rPr>
                <w:rFonts w:ascii="Arial" w:eastAsia="Calibri" w:hAnsi="Arial" w:cs="Arial"/>
                <w:sz w:val="22"/>
                <w:szCs w:val="22"/>
                <w:lang w:val="en-AU"/>
              </w:rPr>
            </w:pP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Through a collective impact framework and group model building, Population Health, S</w:t>
            </w:r>
            <w:r w:rsidR="006F5F7E">
              <w:rPr>
                <w:rFonts w:ascii="Arial" w:eastAsia="Calibri" w:hAnsi="Arial" w:cs="Arial"/>
                <w:sz w:val="22"/>
                <w:szCs w:val="22"/>
                <w:lang w:val="en-AU"/>
              </w:rPr>
              <w:t>WSLHD</w:t>
            </w:r>
            <w:r w:rsidR="00F66DCB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and Deakin University</w:t>
            </w: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undertook a whole of systems approach to reduce the prevalence of childhood overweight and obesity in Campbelltown LGA. Actions include engaging key leaders and champions </w:t>
            </w:r>
            <w:r w:rsidRPr="00524074">
              <w:rPr>
                <w:rFonts w:ascii="Tahoma" w:eastAsia="Calibri" w:hAnsi="Tahoma" w:cs="Tahoma"/>
                <w:sz w:val="21"/>
                <w:szCs w:val="21"/>
                <w:lang w:val="en-AU"/>
              </w:rPr>
              <w:t xml:space="preserve">across a geographically large </w:t>
            </w:r>
            <w:r w:rsidR="0004518B">
              <w:rPr>
                <w:rFonts w:ascii="Tahoma" w:eastAsia="Calibri" w:hAnsi="Tahoma" w:cs="Tahoma"/>
                <w:sz w:val="21"/>
                <w:szCs w:val="21"/>
                <w:lang w:val="en-AU"/>
              </w:rPr>
              <w:t xml:space="preserve">and culturally diverse </w:t>
            </w:r>
            <w:r w:rsidRPr="00524074">
              <w:rPr>
                <w:rFonts w:ascii="Tahoma" w:eastAsia="Calibri" w:hAnsi="Tahoma" w:cs="Tahoma"/>
                <w:sz w:val="21"/>
                <w:szCs w:val="21"/>
                <w:lang w:val="en-AU"/>
              </w:rPr>
              <w:t>LGA</w:t>
            </w: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, developing a shared understanding of the influences o</w:t>
            </w:r>
            <w:r w:rsidR="006317A0">
              <w:rPr>
                <w:rFonts w:ascii="Arial" w:eastAsia="Calibri" w:hAnsi="Arial" w:cs="Arial"/>
                <w:sz w:val="22"/>
                <w:szCs w:val="22"/>
                <w:lang w:val="en-AU"/>
              </w:rPr>
              <w:t>n</w:t>
            </w: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childhood obesity and forming working groups to design and deliver local community-driven interventions.</w:t>
            </w:r>
          </w:p>
          <w:p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:rsidR="00524074" w:rsidRPr="00524074" w:rsidRDefault="0004518B" w:rsidP="00524074">
            <w:pPr>
              <w:rPr>
                <w:rFonts w:ascii="Arial" w:eastAsia="Calibri" w:hAnsi="Arial" w:cs="Arial"/>
                <w:sz w:val="22"/>
                <w:szCs w:val="22"/>
                <w:lang w:val="en-AU"/>
              </w:rPr>
            </w:pP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A systems map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was developed and</w:t>
            </w: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identified the key drivers of childhood obesity. 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High level engagement from representatives 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of </w:t>
            </w:r>
            <w:r w:rsidR="006317A0">
              <w:rPr>
                <w:rFonts w:ascii="Arial" w:eastAsia="Calibri" w:hAnsi="Arial" w:cs="Arial"/>
                <w:sz w:val="22"/>
                <w:szCs w:val="22"/>
                <w:lang w:val="en-AU"/>
              </w:rPr>
              <w:t>g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overnment agencies, local council, NGOs, business, and community members in group model building workshops resulted in a local response addressing the 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environments and opportunities for children and families to lead a healthy lifestyle within the LGA. 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Collective action across the community enhanced existing programs, formed new partnerships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, increased local capacity and implemented a range of locally relevant, targeted interventions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. To monitor the </w:t>
            </w: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effectiv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e</w:t>
            </w: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n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e</w:t>
            </w:r>
            <w:r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ss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and sustainability of this approach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a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systematic evaluation of the built environment, child behavioural data, sugar-sw</w:t>
            </w:r>
            <w:bookmarkStart w:id="0" w:name="_GoBack"/>
            <w:bookmarkEnd w:id="0"/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>eetened beverage availability and community readiness has been undertaken.</w:t>
            </w: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:rsidR="00C978A6" w:rsidRDefault="006F5F7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This approach has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previously been trialled</w:t>
            </w:r>
            <w:r w:rsidR="0004518B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by Deakin University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in rural Victoria and the ACT as a strategy for engaging communities to develop a whole of systems 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response</w:t>
            </w:r>
            <w:r w:rsidR="00524074" w:rsidRPr="00524074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to reduce childhood overweight and obesity. Population Health, has been translating this multi-strategic and community-led intervention into an urban setting to reduce prevalence of childhood overweight and obesity in Campbelltown LGA.</w:t>
            </w: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:rsidR="00DA7A71" w:rsidRDefault="0052407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4074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  <w:p w:rsidR="0004518B" w:rsidRDefault="0004518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518B" w:rsidRPr="0049334B" w:rsidRDefault="0004518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9334B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:rsidR="0004518B" w:rsidRPr="00524074" w:rsidRDefault="0004518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Childhood obesity, collective impact, systems thinking, partnerships</w:t>
            </w:r>
          </w:p>
          <w:p w:rsidR="00DA7A71" w:rsidRPr="00DA7A71" w:rsidRDefault="00DA7A71" w:rsidP="0052407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4518B"/>
    <w:rsid w:val="00077988"/>
    <w:rsid w:val="0008349E"/>
    <w:rsid w:val="000C05CE"/>
    <w:rsid w:val="00131D1E"/>
    <w:rsid w:val="001C3A37"/>
    <w:rsid w:val="00211765"/>
    <w:rsid w:val="00230B21"/>
    <w:rsid w:val="002343F0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9334B"/>
    <w:rsid w:val="004B5B95"/>
    <w:rsid w:val="004B7D91"/>
    <w:rsid w:val="004C45A1"/>
    <w:rsid w:val="004E345D"/>
    <w:rsid w:val="00524074"/>
    <w:rsid w:val="00564331"/>
    <w:rsid w:val="00590824"/>
    <w:rsid w:val="005B413F"/>
    <w:rsid w:val="005F7DC7"/>
    <w:rsid w:val="006317A0"/>
    <w:rsid w:val="006605DB"/>
    <w:rsid w:val="00663BFF"/>
    <w:rsid w:val="006C6E32"/>
    <w:rsid w:val="006F5F7E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A1184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66DCB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D9DEF0-41BF-4F06-B28F-183EF295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24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074"/>
    <w:pPr>
      <w:spacing w:after="160"/>
    </w:pPr>
    <w:rPr>
      <w:rFonts w:ascii="Calibri" w:eastAsia="Calibri" w:hAnsi="Calibr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074"/>
    <w:rPr>
      <w:rFonts w:ascii="Calibri" w:eastAsia="Calibri" w:hAnsi="Calibri"/>
      <w:lang w:val="en-AU" w:eastAsia="en-US"/>
    </w:rPr>
  </w:style>
  <w:style w:type="paragraph" w:styleId="BalloonText">
    <w:name w:val="Balloon Text"/>
    <w:basedOn w:val="Normal"/>
    <w:link w:val="BalloonTextChar"/>
    <w:rsid w:val="005240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4074"/>
    <w:rPr>
      <w:rFonts w:ascii="Segoe UI" w:hAnsi="Segoe UI" w:cs="Segoe UI"/>
      <w:sz w:val="18"/>
      <w:szCs w:val="18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17A0"/>
    <w:pPr>
      <w:spacing w:after="0"/>
    </w:pPr>
    <w:rPr>
      <w:rFonts w:ascii="Times New Roman" w:eastAsia="Times New Roman" w:hAnsi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6317A0"/>
    <w:rPr>
      <w:rFonts w:ascii="Calibri" w:eastAsia="Calibri" w:hAnsi="Calibri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6911e96c-4cc4-42d5-8e43-f93924cf6a05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2364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Sheree Whittaker</cp:lastModifiedBy>
  <cp:revision>3</cp:revision>
  <dcterms:created xsi:type="dcterms:W3CDTF">2018-08-30T05:39:00Z</dcterms:created>
  <dcterms:modified xsi:type="dcterms:W3CDTF">2018-08-30T05:48:00Z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