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8587" w14:textId="52F7DC06" w:rsidR="00013864" w:rsidRPr="00B34B0A" w:rsidRDefault="00013864" w:rsidP="00B34B0A">
      <w:pPr>
        <w:rPr>
          <w:rFonts w:ascii="Arial" w:hAnsi="Arial" w:cs="Arial"/>
          <w:b/>
          <w:bCs/>
          <w:szCs w:val="22"/>
        </w:rPr>
      </w:pPr>
      <w:r w:rsidRPr="00B34B0A">
        <w:rPr>
          <w:rFonts w:ascii="Arial" w:hAnsi="Arial" w:cs="Arial"/>
          <w:b/>
          <w:bCs/>
          <w:szCs w:val="22"/>
        </w:rPr>
        <w:t>Socioeconomic status modifies triglyceride-rich lipoprotein response to fenofibrate in the FIELD trial</w:t>
      </w:r>
    </w:p>
    <w:p w14:paraId="4190D699" w14:textId="77777777" w:rsidR="00013864" w:rsidRPr="00B34B0A" w:rsidRDefault="00013864" w:rsidP="00B34B0A">
      <w:pPr>
        <w:rPr>
          <w:rFonts w:ascii="Arial" w:hAnsi="Arial" w:cs="Arial"/>
          <w:szCs w:val="22"/>
        </w:rPr>
      </w:pPr>
    </w:p>
    <w:p w14:paraId="77434312" w14:textId="77777777" w:rsidR="00F80A6D" w:rsidRPr="00B34B0A" w:rsidRDefault="00F80A6D" w:rsidP="00B34B0A">
      <w:pPr>
        <w:rPr>
          <w:rFonts w:ascii="Arial" w:hAnsi="Arial" w:cs="Arial"/>
          <w:b/>
          <w:bCs/>
          <w:szCs w:val="22"/>
        </w:rPr>
      </w:pPr>
      <w:r w:rsidRPr="00B34B0A">
        <w:rPr>
          <w:rFonts w:ascii="Arial" w:hAnsi="Arial" w:cs="Arial"/>
          <w:b/>
          <w:bCs/>
          <w:szCs w:val="22"/>
        </w:rPr>
        <w:t>Background</w:t>
      </w:r>
    </w:p>
    <w:p w14:paraId="6A70EF37" w14:textId="77777777" w:rsidR="00F80A6D" w:rsidRPr="00B34B0A" w:rsidRDefault="00F80A6D" w:rsidP="00B34B0A">
      <w:pPr>
        <w:rPr>
          <w:rFonts w:ascii="Arial" w:hAnsi="Arial" w:cs="Arial"/>
          <w:szCs w:val="22"/>
        </w:rPr>
      </w:pPr>
      <w:r w:rsidRPr="00B34B0A">
        <w:rPr>
          <w:rFonts w:ascii="Arial" w:hAnsi="Arial" w:cs="Arial"/>
          <w:szCs w:val="22"/>
        </w:rPr>
        <w:t>Area-level socioeconomic status (SES) is associated with cardiometabolic risk, yet whether lipoprotein phenotype or therapeutic response differs by SES remains unclear. We examined associations between SES, baseline lipoprotein profile, and fenofibrate response.</w:t>
      </w:r>
    </w:p>
    <w:p w14:paraId="0995FD8E" w14:textId="77777777" w:rsidR="00F80A6D" w:rsidRPr="00B34B0A" w:rsidRDefault="00F80A6D" w:rsidP="00B34B0A">
      <w:pPr>
        <w:rPr>
          <w:rFonts w:ascii="Arial" w:hAnsi="Arial" w:cs="Arial"/>
          <w:b/>
          <w:bCs/>
          <w:szCs w:val="22"/>
        </w:rPr>
      </w:pPr>
    </w:p>
    <w:p w14:paraId="5A2CEBA1" w14:textId="77777777" w:rsidR="00F80A6D" w:rsidRPr="00B34B0A" w:rsidRDefault="00F80A6D" w:rsidP="00B34B0A">
      <w:pPr>
        <w:rPr>
          <w:rFonts w:ascii="Arial" w:hAnsi="Arial" w:cs="Arial"/>
          <w:b/>
          <w:bCs/>
          <w:szCs w:val="22"/>
        </w:rPr>
      </w:pPr>
      <w:r w:rsidRPr="00B34B0A">
        <w:rPr>
          <w:rFonts w:ascii="Arial" w:hAnsi="Arial" w:cs="Arial"/>
          <w:b/>
          <w:bCs/>
          <w:szCs w:val="22"/>
        </w:rPr>
        <w:t>Methods</w:t>
      </w:r>
    </w:p>
    <w:p w14:paraId="08585E6D" w14:textId="498D74B7" w:rsidR="00F80A6D" w:rsidRPr="00B34B0A" w:rsidRDefault="00F80A6D" w:rsidP="00B34B0A">
      <w:pPr>
        <w:rPr>
          <w:rFonts w:ascii="Arial" w:hAnsi="Arial" w:cs="Arial"/>
          <w:szCs w:val="22"/>
        </w:rPr>
      </w:pPr>
      <w:r w:rsidRPr="00B34B0A">
        <w:rPr>
          <w:rFonts w:ascii="Arial" w:hAnsi="Arial" w:cs="Arial"/>
          <w:szCs w:val="22"/>
        </w:rPr>
        <w:t>We analysed 5,752 Australian participants with type 2 diabetes enrolled in the Fenofibrate Intervention and Event Lowering in Diabetes (FIELD) study. Residential addresses were geocoded and linked to Census-derived area-level SES indices: Index of Relative Socioeconomic Disadvantage, Index of Education and Occupation, and Index of Economic Resources, expressed as state-level percentiles (1996 Census; 2001 sensitivity analysis). Classical lipids (TC, TG, HDL-C, LDL-C) and Vertical Auto Profile (VAP)-derived</w:t>
      </w:r>
      <w:r w:rsidR="003353C6" w:rsidRPr="00B34B0A">
        <w:rPr>
          <w:rFonts w:ascii="Arial" w:hAnsi="Arial" w:cs="Arial"/>
          <w:szCs w:val="22"/>
        </w:rPr>
        <w:t xml:space="preserve"> triglyceride-rich</w:t>
      </w:r>
      <w:r w:rsidRPr="00B34B0A">
        <w:rPr>
          <w:rFonts w:ascii="Arial" w:hAnsi="Arial" w:cs="Arial"/>
          <w:szCs w:val="22"/>
        </w:rPr>
        <w:t xml:space="preserve"> fractions (IDL-C, VLDL-C, VLDL3-C) were assessed at baseline and after 6 weeks of fenofibrate</w:t>
      </w:r>
      <w:r w:rsidR="003E2BD3" w:rsidRPr="00B34B0A">
        <w:rPr>
          <w:rFonts w:ascii="Arial" w:hAnsi="Arial" w:cs="Arial"/>
          <w:szCs w:val="22"/>
        </w:rPr>
        <w:t xml:space="preserve"> treatment</w:t>
      </w:r>
      <w:r w:rsidRPr="00B34B0A">
        <w:rPr>
          <w:rFonts w:ascii="Arial" w:hAnsi="Arial" w:cs="Arial"/>
          <w:szCs w:val="22"/>
        </w:rPr>
        <w:t xml:space="preserve">. SES was analysed per 10-percentile increase and by FIELD-specific tertiles. Baseline associations were assessed using linear models. Fenofibrate response was evaluated using ANCOVA: ln(6-weeks) ~ SES + ln(baseline) + age, sex, diabetes duration, </w:t>
      </w:r>
      <w:r w:rsidR="00AD0E48" w:rsidRPr="00B34B0A">
        <w:rPr>
          <w:rFonts w:ascii="Arial" w:hAnsi="Arial" w:cs="Arial"/>
          <w:szCs w:val="22"/>
        </w:rPr>
        <w:t xml:space="preserve">BMI, </w:t>
      </w:r>
      <w:r w:rsidRPr="00B34B0A">
        <w:rPr>
          <w:rFonts w:ascii="Arial" w:hAnsi="Arial" w:cs="Arial"/>
          <w:szCs w:val="22"/>
        </w:rPr>
        <w:t>HbA1c, SBP and eGFR. Effects are presented as percent differences.</w:t>
      </w:r>
    </w:p>
    <w:p w14:paraId="412B3465" w14:textId="77777777" w:rsidR="00F80A6D" w:rsidRPr="00B34B0A" w:rsidRDefault="00F80A6D" w:rsidP="00B34B0A">
      <w:pPr>
        <w:rPr>
          <w:rFonts w:ascii="Arial" w:hAnsi="Arial" w:cs="Arial"/>
          <w:b/>
          <w:bCs/>
          <w:szCs w:val="22"/>
        </w:rPr>
      </w:pPr>
    </w:p>
    <w:p w14:paraId="3185D465" w14:textId="77777777" w:rsidR="00F80A6D" w:rsidRPr="00B34B0A" w:rsidRDefault="00F80A6D" w:rsidP="00B34B0A">
      <w:pPr>
        <w:rPr>
          <w:rFonts w:ascii="Arial" w:hAnsi="Arial" w:cs="Arial"/>
          <w:b/>
          <w:bCs/>
          <w:szCs w:val="22"/>
        </w:rPr>
      </w:pPr>
      <w:r w:rsidRPr="00B34B0A">
        <w:rPr>
          <w:rFonts w:ascii="Arial" w:hAnsi="Arial" w:cs="Arial"/>
          <w:b/>
          <w:bCs/>
          <w:szCs w:val="22"/>
        </w:rPr>
        <w:t>Results</w:t>
      </w:r>
    </w:p>
    <w:p w14:paraId="7631E807" w14:textId="33C38A03" w:rsidR="00F80A6D" w:rsidRPr="00B34B0A" w:rsidRDefault="00F80A6D" w:rsidP="00B34B0A">
      <w:pPr>
        <w:rPr>
          <w:rFonts w:ascii="Arial" w:hAnsi="Arial" w:cs="Arial"/>
          <w:szCs w:val="22"/>
        </w:rPr>
      </w:pPr>
      <w:r w:rsidRPr="00B34B0A">
        <w:rPr>
          <w:rFonts w:ascii="Arial" w:hAnsi="Arial" w:cs="Arial"/>
          <w:szCs w:val="22"/>
        </w:rPr>
        <w:t xml:space="preserve">Baseline SES showed statistically significant but very small </w:t>
      </w:r>
      <w:r w:rsidR="009C1CDA" w:rsidRPr="00B34B0A">
        <w:rPr>
          <w:rFonts w:ascii="Arial" w:hAnsi="Arial" w:cs="Arial"/>
          <w:szCs w:val="22"/>
        </w:rPr>
        <w:t xml:space="preserve">negative </w:t>
      </w:r>
      <w:r w:rsidRPr="00B34B0A">
        <w:rPr>
          <w:rFonts w:ascii="Arial" w:hAnsi="Arial" w:cs="Arial"/>
          <w:szCs w:val="22"/>
        </w:rPr>
        <w:t>associations with TG, VLDL and VLDL3 (max R² &lt;0.002; p&lt;0.032). During uniform fenofibrate exposure, lower SES was consistently associated with attenuated response in triglyceride-rich fractions (0.2–0.</w:t>
      </w:r>
      <w:r w:rsidR="003353C6" w:rsidRPr="00B34B0A">
        <w:rPr>
          <w:rFonts w:ascii="Arial" w:hAnsi="Arial" w:cs="Arial"/>
          <w:szCs w:val="22"/>
        </w:rPr>
        <w:t>4</w:t>
      </w:r>
      <w:r w:rsidRPr="00B34B0A">
        <w:rPr>
          <w:rFonts w:ascii="Arial" w:hAnsi="Arial" w:cs="Arial"/>
          <w:szCs w:val="22"/>
        </w:rPr>
        <w:t>% per decile SES; p&lt;0.0</w:t>
      </w:r>
      <w:r w:rsidR="003353C6" w:rsidRPr="00B34B0A">
        <w:rPr>
          <w:rFonts w:ascii="Arial" w:hAnsi="Arial" w:cs="Arial"/>
          <w:szCs w:val="22"/>
        </w:rPr>
        <w:t>13</w:t>
      </w:r>
      <w:r w:rsidRPr="00B34B0A">
        <w:rPr>
          <w:rFonts w:ascii="Arial" w:hAnsi="Arial" w:cs="Arial"/>
          <w:szCs w:val="22"/>
        </w:rPr>
        <w:t>). Participants in the lowest SES tertile demonstrated approximately 1.</w:t>
      </w:r>
      <w:r w:rsidR="00AD0E48" w:rsidRPr="00B34B0A">
        <w:rPr>
          <w:rFonts w:ascii="Arial" w:hAnsi="Arial" w:cs="Arial"/>
          <w:szCs w:val="22"/>
        </w:rPr>
        <w:t>5</w:t>
      </w:r>
      <w:r w:rsidRPr="00B34B0A">
        <w:rPr>
          <w:rFonts w:ascii="Arial" w:hAnsi="Arial" w:cs="Arial"/>
          <w:szCs w:val="22"/>
        </w:rPr>
        <w:t>–</w:t>
      </w:r>
      <w:r w:rsidR="003353C6" w:rsidRPr="00B34B0A">
        <w:rPr>
          <w:rFonts w:ascii="Arial" w:hAnsi="Arial" w:cs="Arial"/>
          <w:szCs w:val="22"/>
        </w:rPr>
        <w:t>2.5</w:t>
      </w:r>
      <w:r w:rsidRPr="00B34B0A">
        <w:rPr>
          <w:rFonts w:ascii="Arial" w:hAnsi="Arial" w:cs="Arial"/>
          <w:szCs w:val="22"/>
        </w:rPr>
        <w:t>% smaller reductions in TG, VLDL-C, VLDL3-C compared with the highest tertile (p&lt;0.0</w:t>
      </w:r>
      <w:r w:rsidR="003353C6" w:rsidRPr="00B34B0A">
        <w:rPr>
          <w:rFonts w:ascii="Arial" w:hAnsi="Arial" w:cs="Arial"/>
          <w:szCs w:val="22"/>
        </w:rPr>
        <w:t>15</w:t>
      </w:r>
      <w:r w:rsidRPr="00B34B0A">
        <w:rPr>
          <w:rFonts w:ascii="Arial" w:hAnsi="Arial" w:cs="Arial"/>
          <w:szCs w:val="22"/>
        </w:rPr>
        <w:t>), independent of baseline levels and clinical covariates. These gradients were not observed uniformly across lipid subclasses.</w:t>
      </w:r>
    </w:p>
    <w:p w14:paraId="739F3D5D" w14:textId="77777777" w:rsidR="00F80A6D" w:rsidRPr="00B34B0A" w:rsidRDefault="00F80A6D" w:rsidP="00B34B0A">
      <w:pPr>
        <w:rPr>
          <w:rFonts w:ascii="Arial" w:hAnsi="Arial" w:cs="Arial"/>
          <w:b/>
          <w:bCs/>
          <w:szCs w:val="22"/>
        </w:rPr>
      </w:pPr>
    </w:p>
    <w:p w14:paraId="3F021D7C" w14:textId="77777777" w:rsidR="00F80A6D" w:rsidRPr="00B34B0A" w:rsidRDefault="00F80A6D" w:rsidP="00B34B0A">
      <w:pPr>
        <w:rPr>
          <w:rFonts w:ascii="Arial" w:hAnsi="Arial" w:cs="Arial"/>
          <w:b/>
          <w:bCs/>
          <w:szCs w:val="22"/>
        </w:rPr>
      </w:pPr>
      <w:r w:rsidRPr="00B34B0A">
        <w:rPr>
          <w:rFonts w:ascii="Arial" w:hAnsi="Arial" w:cs="Arial"/>
          <w:b/>
          <w:bCs/>
          <w:szCs w:val="22"/>
        </w:rPr>
        <w:t>Conclusions</w:t>
      </w:r>
    </w:p>
    <w:p w14:paraId="2227457E" w14:textId="4F31EBE6" w:rsidR="0027003C" w:rsidRPr="00B34B0A" w:rsidRDefault="00F80A6D" w:rsidP="00B34B0A">
      <w:pPr>
        <w:rPr>
          <w:szCs w:val="22"/>
        </w:rPr>
      </w:pPr>
      <w:r w:rsidRPr="00B34B0A">
        <w:rPr>
          <w:rFonts w:ascii="Arial" w:hAnsi="Arial" w:cs="Arial"/>
          <w:szCs w:val="22"/>
        </w:rPr>
        <w:t>Fine-grained area-level SES captures modest but reproducible variation in triglyceride-rich lipoprotein response to fenofibrate, even within a controlled trial environment with standardised drug exposure and monitoring. These findings suggest that granular SES provides incremental information beyond conventional clinical risk factors and warrants consideration in predictive and risk-stratification frameworks addressing health equity–related variation in cardiometabolic phenotype.</w:t>
      </w:r>
    </w:p>
    <w:sectPr w:rsidR="0027003C" w:rsidRPr="00B3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64"/>
    <w:rsid w:val="00013864"/>
    <w:rsid w:val="0017218F"/>
    <w:rsid w:val="00184C20"/>
    <w:rsid w:val="0027003C"/>
    <w:rsid w:val="002F347A"/>
    <w:rsid w:val="00322D64"/>
    <w:rsid w:val="00332FB1"/>
    <w:rsid w:val="003353C6"/>
    <w:rsid w:val="003B2F16"/>
    <w:rsid w:val="003E2BD3"/>
    <w:rsid w:val="004F310B"/>
    <w:rsid w:val="005C2B03"/>
    <w:rsid w:val="006875D5"/>
    <w:rsid w:val="006C5C4B"/>
    <w:rsid w:val="007105E4"/>
    <w:rsid w:val="007823EE"/>
    <w:rsid w:val="008359F0"/>
    <w:rsid w:val="008500C4"/>
    <w:rsid w:val="008C3F5C"/>
    <w:rsid w:val="009C1CDA"/>
    <w:rsid w:val="00AD0E48"/>
    <w:rsid w:val="00B30C13"/>
    <w:rsid w:val="00B34B0A"/>
    <w:rsid w:val="00CE68D2"/>
    <w:rsid w:val="00E1637F"/>
    <w:rsid w:val="00EA0F9D"/>
    <w:rsid w:val="00F2418A"/>
    <w:rsid w:val="00F80A6D"/>
    <w:rsid w:val="00FA7A4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F053"/>
  <w15:chartTrackingRefBased/>
  <w15:docId w15:val="{69310FDB-A6FE-472C-B224-3F62F179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64"/>
  </w:style>
  <w:style w:type="paragraph" w:styleId="Heading1">
    <w:name w:val="heading 1"/>
    <w:basedOn w:val="Normal"/>
    <w:next w:val="Normal"/>
    <w:link w:val="Heading1Char"/>
    <w:uiPriority w:val="9"/>
    <w:qFormat/>
    <w:rsid w:val="0001386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1386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1386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13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8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8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8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8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86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1386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1386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13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864"/>
    <w:rPr>
      <w:rFonts w:eastAsiaTheme="majorEastAsia" w:cstheme="majorBidi"/>
      <w:color w:val="272727" w:themeColor="text1" w:themeTint="D8"/>
    </w:rPr>
  </w:style>
  <w:style w:type="paragraph" w:styleId="Title">
    <w:name w:val="Title"/>
    <w:basedOn w:val="Normal"/>
    <w:next w:val="Normal"/>
    <w:link w:val="TitleChar"/>
    <w:uiPriority w:val="10"/>
    <w:qFormat/>
    <w:rsid w:val="00013864"/>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1386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13864"/>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1386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138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864"/>
    <w:rPr>
      <w:i/>
      <w:iCs/>
      <w:color w:val="404040" w:themeColor="text1" w:themeTint="BF"/>
    </w:rPr>
  </w:style>
  <w:style w:type="paragraph" w:styleId="ListParagraph">
    <w:name w:val="List Paragraph"/>
    <w:basedOn w:val="Normal"/>
    <w:uiPriority w:val="34"/>
    <w:qFormat/>
    <w:rsid w:val="00013864"/>
    <w:pPr>
      <w:ind w:left="720"/>
      <w:contextualSpacing/>
    </w:pPr>
  </w:style>
  <w:style w:type="character" w:styleId="IntenseEmphasis">
    <w:name w:val="Intense Emphasis"/>
    <w:basedOn w:val="DefaultParagraphFont"/>
    <w:uiPriority w:val="21"/>
    <w:qFormat/>
    <w:rsid w:val="00013864"/>
    <w:rPr>
      <w:i/>
      <w:iCs/>
      <w:color w:val="0F4761" w:themeColor="accent1" w:themeShade="BF"/>
    </w:rPr>
  </w:style>
  <w:style w:type="paragraph" w:styleId="IntenseQuote">
    <w:name w:val="Intense Quote"/>
    <w:basedOn w:val="Normal"/>
    <w:next w:val="Normal"/>
    <w:link w:val="IntenseQuoteChar"/>
    <w:uiPriority w:val="30"/>
    <w:qFormat/>
    <w:rsid w:val="00013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864"/>
    <w:rPr>
      <w:i/>
      <w:iCs/>
      <w:color w:val="0F4761" w:themeColor="accent1" w:themeShade="BF"/>
    </w:rPr>
  </w:style>
  <w:style w:type="character" w:styleId="IntenseReference">
    <w:name w:val="Intense Reference"/>
    <w:basedOn w:val="DefaultParagraphFont"/>
    <w:uiPriority w:val="32"/>
    <w:qFormat/>
    <w:rsid w:val="000138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D70495-3D40-4231-BD79-2F14588B7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CE657-950E-45F2-91B3-EF7F62E5B690}">
  <ds:schemaRefs>
    <ds:schemaRef ds:uri="http://schemas.microsoft.com/sharepoint/v3/contenttype/forms"/>
  </ds:schemaRefs>
</ds:datastoreItem>
</file>

<file path=customXml/itemProps3.xml><?xml version="1.0" encoding="utf-8"?>
<ds:datastoreItem xmlns:ds="http://schemas.openxmlformats.org/officeDocument/2006/customXml" ds:itemID="{E5B4641C-65BA-4763-97DB-82231CB446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Januszewski</dc:creator>
  <cp:keywords/>
  <dc:description/>
  <cp:lastModifiedBy>Tanya Yandall</cp:lastModifiedBy>
  <cp:revision>3</cp:revision>
  <dcterms:created xsi:type="dcterms:W3CDTF">2026-03-17T03:05:00Z</dcterms:created>
  <dcterms:modified xsi:type="dcterms:W3CDTF">2026-03-17T03:05:00Z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