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D392C9C" w:rsidR="001564A4" w:rsidRPr="0050053A" w:rsidRDefault="00377775" w:rsidP="000A28E2">
            <w:pPr>
              <w:spacing w:before="120" w:after="120"/>
              <w:rPr>
                <w:rFonts w:ascii="Arial" w:hAnsi="Arial" w:cs="Arial"/>
                <w:b/>
                <w:sz w:val="22"/>
                <w:szCs w:val="22"/>
                <w:lang w:val="en-US" w:eastAsia="zh-CN"/>
              </w:rPr>
            </w:pPr>
            <w:bookmarkStart w:id="0" w:name="_GoBack"/>
            <w:r w:rsidRPr="00377775">
              <w:rPr>
                <w:rFonts w:ascii="Arial" w:hAnsi="Arial" w:cs="Arial"/>
                <w:b/>
                <w:sz w:val="22"/>
                <w:szCs w:val="22"/>
                <w:lang w:val="en-US" w:eastAsia="en-GB"/>
              </w:rPr>
              <w:t xml:space="preserve">Quantifying the magnitude and persistence </w:t>
            </w:r>
            <w:bookmarkEnd w:id="0"/>
            <w:r w:rsidRPr="00377775">
              <w:rPr>
                <w:rFonts w:ascii="Arial" w:hAnsi="Arial" w:cs="Arial"/>
                <w:b/>
                <w:sz w:val="22"/>
                <w:szCs w:val="22"/>
                <w:lang w:val="en-US" w:eastAsia="en-GB"/>
              </w:rPr>
              <w:t>of human degradation of global tropical moist forests using Landsat and GEDI data</w:t>
            </w:r>
          </w:p>
        </w:tc>
      </w:tr>
      <w:tr w:rsidR="001564A4" w:rsidRPr="0050053A" w14:paraId="6DAF615A" w14:textId="77777777" w:rsidTr="000A28E2">
        <w:trPr>
          <w:trHeight w:hRule="exact" w:val="7352"/>
          <w:jc w:val="center"/>
        </w:trPr>
        <w:tc>
          <w:tcPr>
            <w:tcW w:w="8640" w:type="dxa"/>
            <w:shd w:val="clear" w:color="auto" w:fill="auto"/>
          </w:tcPr>
          <w:p w14:paraId="5AF97911" w14:textId="62B6EB70" w:rsidR="00377775" w:rsidRDefault="00377775" w:rsidP="00377775">
            <w:pPr>
              <w:pStyle w:val="Pa12"/>
              <w:rPr>
                <w:sz w:val="22"/>
                <w:szCs w:val="22"/>
              </w:rPr>
            </w:pPr>
            <w:r w:rsidRPr="00377775">
              <w:rPr>
                <w:sz w:val="22"/>
                <w:szCs w:val="22"/>
              </w:rPr>
              <w:t>Tropical forest degradation from selective logging, fire, and edge effects is a major driver of carbon and biodiversity loss (</w:t>
            </w:r>
            <w:hyperlink r:id="rId7" w:history="1">
              <w:r w:rsidRPr="00377775">
                <w:rPr>
                  <w:rStyle w:val="Hyperlink"/>
                  <w:sz w:val="22"/>
                  <w:szCs w:val="22"/>
                </w:rPr>
                <w:t>Pearson et al. 2017</w:t>
              </w:r>
            </w:hyperlink>
            <w:r w:rsidRPr="00377775">
              <w:rPr>
                <w:sz w:val="22"/>
                <w:szCs w:val="22"/>
              </w:rPr>
              <w:t xml:space="preserve">; </w:t>
            </w:r>
            <w:hyperlink r:id="rId8" w:history="1">
              <w:proofErr w:type="spellStart"/>
              <w:r w:rsidRPr="00377775">
                <w:rPr>
                  <w:rStyle w:val="Hyperlink"/>
                  <w:sz w:val="22"/>
                  <w:szCs w:val="22"/>
                </w:rPr>
                <w:t>Baccini</w:t>
              </w:r>
              <w:proofErr w:type="spellEnd"/>
              <w:r w:rsidRPr="00377775">
                <w:rPr>
                  <w:rStyle w:val="Hyperlink"/>
                  <w:sz w:val="22"/>
                  <w:szCs w:val="22"/>
                </w:rPr>
                <w:t xml:space="preserve"> et al. 2017</w:t>
              </w:r>
            </w:hyperlink>
            <w:r w:rsidRPr="00377775">
              <w:rPr>
                <w:sz w:val="22"/>
                <w:szCs w:val="22"/>
              </w:rPr>
              <w:t xml:space="preserve">; </w:t>
            </w:r>
            <w:hyperlink r:id="rId9" w:history="1">
              <w:r w:rsidRPr="00377775">
                <w:rPr>
                  <w:rStyle w:val="Hyperlink"/>
                  <w:sz w:val="22"/>
                  <w:szCs w:val="22"/>
                </w:rPr>
                <w:t>Barlow et al. 2016</w:t>
              </w:r>
            </w:hyperlink>
            <w:r w:rsidRPr="00377775">
              <w:rPr>
                <w:sz w:val="22"/>
                <w:szCs w:val="22"/>
              </w:rPr>
              <w:t>). The rate of degradation is comparable to that of deforestation and exceeds it during extreme climatic events (</w:t>
            </w:r>
            <w:proofErr w:type="spellStart"/>
            <w:r>
              <w:rPr>
                <w:sz w:val="22"/>
                <w:szCs w:val="22"/>
              </w:rPr>
              <w:fldChar w:fldCharType="begin"/>
            </w:r>
            <w:r>
              <w:rPr>
                <w:sz w:val="22"/>
                <w:szCs w:val="22"/>
              </w:rPr>
              <w:instrText xml:space="preserve"> HYPERLINK "https://doi.org/10.1126/sciadv.abe1603" </w:instrText>
            </w:r>
            <w:r>
              <w:rPr>
                <w:sz w:val="22"/>
                <w:szCs w:val="22"/>
              </w:rPr>
            </w:r>
            <w:r>
              <w:rPr>
                <w:sz w:val="22"/>
                <w:szCs w:val="22"/>
              </w:rPr>
              <w:fldChar w:fldCharType="separate"/>
            </w:r>
            <w:r w:rsidRPr="00377775">
              <w:rPr>
                <w:rStyle w:val="Hyperlink"/>
                <w:sz w:val="22"/>
                <w:szCs w:val="22"/>
              </w:rPr>
              <w:t>Vancutsem</w:t>
            </w:r>
            <w:proofErr w:type="spellEnd"/>
            <w:r w:rsidRPr="00377775">
              <w:rPr>
                <w:rStyle w:val="Hyperlink"/>
                <w:sz w:val="22"/>
                <w:szCs w:val="22"/>
              </w:rPr>
              <w:t xml:space="preserve"> et al. 2021</w:t>
            </w:r>
            <w:r>
              <w:rPr>
                <w:sz w:val="22"/>
                <w:szCs w:val="22"/>
              </w:rPr>
              <w:fldChar w:fldCharType="end"/>
            </w:r>
            <w:r w:rsidRPr="00377775">
              <w:rPr>
                <w:sz w:val="22"/>
                <w:szCs w:val="22"/>
              </w:rPr>
              <w:t>). However, the actual extent of degradation impacts is likely underestimated, and large uncertainties remain in quantifying its persistence at global tropical scale (</w:t>
            </w:r>
            <w:hyperlink r:id="rId10" w:history="1">
              <w:r w:rsidRPr="00377775">
                <w:rPr>
                  <w:rStyle w:val="Hyperlink"/>
                  <w:sz w:val="22"/>
                  <w:szCs w:val="22"/>
                </w:rPr>
                <w:t>Gao et al. 2020</w:t>
              </w:r>
            </w:hyperlink>
            <w:r w:rsidRPr="00377775">
              <w:rPr>
                <w:sz w:val="22"/>
                <w:szCs w:val="22"/>
              </w:rPr>
              <w:t>).</w:t>
            </w:r>
          </w:p>
          <w:p w14:paraId="4CCD2043" w14:textId="77777777" w:rsidR="00377775" w:rsidRPr="00377775" w:rsidRDefault="00377775" w:rsidP="00377775">
            <w:pPr>
              <w:pStyle w:val="Default"/>
            </w:pPr>
          </w:p>
          <w:p w14:paraId="2FA66009" w14:textId="5C471031" w:rsidR="00377775" w:rsidRDefault="00377775" w:rsidP="00377775">
            <w:pPr>
              <w:pStyle w:val="Pa12"/>
              <w:rPr>
                <w:sz w:val="22"/>
                <w:szCs w:val="22"/>
              </w:rPr>
            </w:pPr>
            <w:r w:rsidRPr="00377775">
              <w:rPr>
                <w:sz w:val="22"/>
                <w:szCs w:val="22"/>
              </w:rPr>
              <w:t>We quantify the magnitude and persistence of multiple types of degradation on forest structure over the pantropical belt by combining Landsat-based wall-to-wall maps of forest degradation, deforestation and regrowth from 1990 to 2022 (</w:t>
            </w:r>
            <w:proofErr w:type="spellStart"/>
            <w:r>
              <w:rPr>
                <w:sz w:val="22"/>
                <w:szCs w:val="22"/>
              </w:rPr>
              <w:fldChar w:fldCharType="begin"/>
            </w:r>
            <w:r>
              <w:rPr>
                <w:sz w:val="22"/>
                <w:szCs w:val="22"/>
              </w:rPr>
              <w:instrText xml:space="preserve"> HYPERLINK "https://doi.org/10.1126/sciadv.abe1603" </w:instrText>
            </w:r>
            <w:r>
              <w:rPr>
                <w:sz w:val="22"/>
                <w:szCs w:val="22"/>
              </w:rPr>
            </w:r>
            <w:r>
              <w:rPr>
                <w:sz w:val="22"/>
                <w:szCs w:val="22"/>
              </w:rPr>
              <w:fldChar w:fldCharType="separate"/>
            </w:r>
            <w:r w:rsidRPr="00377775">
              <w:rPr>
                <w:rStyle w:val="Hyperlink"/>
                <w:sz w:val="22"/>
                <w:szCs w:val="22"/>
              </w:rPr>
              <w:t>Vancutsem</w:t>
            </w:r>
            <w:proofErr w:type="spellEnd"/>
            <w:r w:rsidRPr="00377775">
              <w:rPr>
                <w:rStyle w:val="Hyperlink"/>
                <w:sz w:val="22"/>
                <w:szCs w:val="22"/>
              </w:rPr>
              <w:t xml:space="preserve"> et al. 2021</w:t>
            </w:r>
            <w:r>
              <w:rPr>
                <w:sz w:val="22"/>
                <w:szCs w:val="22"/>
              </w:rPr>
              <w:fldChar w:fldCharType="end"/>
            </w:r>
            <w:r w:rsidRPr="00377775">
              <w:rPr>
                <w:sz w:val="22"/>
                <w:szCs w:val="22"/>
              </w:rPr>
              <w:t xml:space="preserve">) with spatially discontinuous estimates of canopy height and biomass from </w:t>
            </w:r>
            <w:proofErr w:type="spellStart"/>
            <w:r w:rsidRPr="00377775">
              <w:rPr>
                <w:sz w:val="22"/>
                <w:szCs w:val="22"/>
              </w:rPr>
              <w:t>spaceborne</w:t>
            </w:r>
            <w:proofErr w:type="spellEnd"/>
            <w:r w:rsidRPr="00377775">
              <w:rPr>
                <w:sz w:val="22"/>
                <w:szCs w:val="22"/>
              </w:rPr>
              <w:t xml:space="preserve"> LIDAR (GEDI, </w:t>
            </w:r>
            <w:hyperlink r:id="rId11" w:history="1">
              <w:proofErr w:type="spellStart"/>
              <w:r w:rsidRPr="00377775">
                <w:rPr>
                  <w:rStyle w:val="Hyperlink"/>
                  <w:sz w:val="22"/>
                  <w:szCs w:val="22"/>
                </w:rPr>
                <w:t>Dubayah</w:t>
              </w:r>
              <w:proofErr w:type="spellEnd"/>
              <w:r w:rsidRPr="00377775">
                <w:rPr>
                  <w:rStyle w:val="Hyperlink"/>
                  <w:sz w:val="22"/>
                  <w:szCs w:val="22"/>
                </w:rPr>
                <w:t xml:space="preserve"> et al. 2020</w:t>
              </w:r>
            </w:hyperlink>
            <w:r w:rsidRPr="00377775">
              <w:rPr>
                <w:sz w:val="22"/>
                <w:szCs w:val="22"/>
              </w:rPr>
              <w:t>) from 2019-2022.</w:t>
            </w:r>
          </w:p>
          <w:p w14:paraId="78B0AA70" w14:textId="77777777" w:rsidR="00377775" w:rsidRPr="00377775" w:rsidRDefault="00377775" w:rsidP="00377775">
            <w:pPr>
              <w:pStyle w:val="Default"/>
            </w:pPr>
          </w:p>
          <w:p w14:paraId="63C90287" w14:textId="14530F26" w:rsidR="00377775" w:rsidRDefault="00377775" w:rsidP="00377775">
            <w:pPr>
              <w:pStyle w:val="Pa12"/>
              <w:rPr>
                <w:sz w:val="22"/>
                <w:szCs w:val="22"/>
              </w:rPr>
            </w:pPr>
            <w:r w:rsidRPr="00377775">
              <w:rPr>
                <w:sz w:val="22"/>
                <w:szCs w:val="22"/>
              </w:rPr>
              <w:t xml:space="preserve">Based on more than 40 million sample footprints of GEDI data, we estimate that forest height decreases due to selective logging and fire by 15 and 50 % respectively, with low rates of recovery even after 20 years. Agriculture and road expansion trigger a 20-30% reduction in canopy height and biomass at the forest edge, with persistent impacts measurable up to 1.5 km inside the forest. Edge effects encroach on 18% (~206 </w:t>
            </w:r>
            <w:proofErr w:type="spellStart"/>
            <w:r w:rsidRPr="00377775">
              <w:rPr>
                <w:sz w:val="22"/>
                <w:szCs w:val="22"/>
              </w:rPr>
              <w:t>Mha</w:t>
            </w:r>
            <w:proofErr w:type="spellEnd"/>
            <w:r w:rsidRPr="00377775">
              <w:rPr>
                <w:sz w:val="22"/>
                <w:szCs w:val="22"/>
              </w:rPr>
              <w:t>) of the remaining tropical moist forests, an area more than 200% larger than previously estimated (</w:t>
            </w:r>
            <w:proofErr w:type="spellStart"/>
            <w:r>
              <w:rPr>
                <w:sz w:val="22"/>
                <w:szCs w:val="22"/>
              </w:rPr>
              <w:fldChar w:fldCharType="begin"/>
            </w:r>
            <w:r>
              <w:rPr>
                <w:sz w:val="22"/>
                <w:szCs w:val="22"/>
              </w:rPr>
              <w:instrText xml:space="preserve"> HYPERLINK "https://doi.org/10.1038/ncomms14855" </w:instrText>
            </w:r>
            <w:r>
              <w:rPr>
                <w:sz w:val="22"/>
                <w:szCs w:val="22"/>
              </w:rPr>
            </w:r>
            <w:r>
              <w:rPr>
                <w:sz w:val="22"/>
                <w:szCs w:val="22"/>
              </w:rPr>
              <w:fldChar w:fldCharType="separate"/>
            </w:r>
            <w:proofErr w:type="gramStart"/>
            <w:r w:rsidRPr="00377775">
              <w:rPr>
                <w:rStyle w:val="Hyperlink"/>
                <w:sz w:val="22"/>
                <w:szCs w:val="22"/>
              </w:rPr>
              <w:t>Brinck</w:t>
            </w:r>
            <w:proofErr w:type="spellEnd"/>
            <w:r w:rsidRPr="00377775">
              <w:rPr>
                <w:rStyle w:val="Hyperlink"/>
                <w:sz w:val="22"/>
                <w:szCs w:val="22"/>
              </w:rPr>
              <w:t xml:space="preserve"> et al. 2017</w:t>
            </w:r>
            <w:r>
              <w:rPr>
                <w:sz w:val="22"/>
                <w:szCs w:val="22"/>
              </w:rPr>
              <w:fldChar w:fldCharType="end"/>
            </w:r>
            <w:r w:rsidRPr="00377775">
              <w:rPr>
                <w:sz w:val="22"/>
                <w:szCs w:val="22"/>
              </w:rPr>
              <w:t>)</w:t>
            </w:r>
            <w:proofErr w:type="gramEnd"/>
            <w:r w:rsidRPr="00377775">
              <w:rPr>
                <w:sz w:val="22"/>
                <w:szCs w:val="22"/>
              </w:rPr>
              <w:t>. Finally, degraded forests with more than 50% canopy loss are significantly more vulnerable to subsequent deforestation.</w:t>
            </w:r>
          </w:p>
          <w:p w14:paraId="1CA86394" w14:textId="77777777" w:rsidR="00377775" w:rsidRDefault="00377775" w:rsidP="00377775">
            <w:pPr>
              <w:pStyle w:val="Pa12"/>
              <w:rPr>
                <w:sz w:val="22"/>
                <w:szCs w:val="22"/>
              </w:rPr>
            </w:pPr>
          </w:p>
          <w:p w14:paraId="2A651708" w14:textId="0300DE77" w:rsidR="001564A4" w:rsidRPr="0050053A" w:rsidRDefault="00377775" w:rsidP="00377775">
            <w:pPr>
              <w:pStyle w:val="Pa12"/>
              <w:rPr>
                <w:sz w:val="22"/>
                <w:szCs w:val="22"/>
              </w:rPr>
            </w:pPr>
            <w:r w:rsidRPr="00377775">
              <w:rPr>
                <w:sz w:val="22"/>
                <w:szCs w:val="22"/>
              </w:rPr>
              <w:t>Taken together, our findings call for greater efforts to prevent degradation and protect already degraded forests to meet the conservation pledges made at the recent United Nations Climate Change and Biodiversity conferences.</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1564A4"/>
    <w:rsid w:val="001F0AC4"/>
    <w:rsid w:val="00377775"/>
    <w:rsid w:val="0051574E"/>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377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aam596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oi.org/10.1186/s13021-017-0072-2"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rs.2020.100002" TargetMode="External"/><Relationship Id="rId5" Type="http://schemas.openxmlformats.org/officeDocument/2006/relationships/settings" Target="settings.xml"/><Relationship Id="rId10" Type="http://schemas.openxmlformats.org/officeDocument/2006/relationships/hyperlink" Target="https://doi.org/10.1088/1748-9326/abaad7" TargetMode="External"/><Relationship Id="rId4" Type="http://schemas.openxmlformats.org/officeDocument/2006/relationships/styles" Target="styles.xml"/><Relationship Id="rId9" Type="http://schemas.openxmlformats.org/officeDocument/2006/relationships/hyperlink" Target="https://doi.org/10.1038/nature18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BOURGOIN Clement (JRC-ISPRA)</cp:lastModifiedBy>
  <cp:revision>2</cp:revision>
  <dcterms:created xsi:type="dcterms:W3CDTF">2024-04-18T13:48:00Z</dcterms:created>
  <dcterms:modified xsi:type="dcterms:W3CDTF">2024-04-18T13:48:00Z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