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3A9F" w14:textId="198FA4F9" w:rsidR="00B02D57" w:rsidRPr="001129DD" w:rsidRDefault="001129DD" w:rsidP="00B02D57">
      <w:pPr>
        <w:rPr>
          <w:i/>
          <w:iCs/>
        </w:rPr>
      </w:pPr>
      <w:r w:rsidRPr="001129DD">
        <w:rPr>
          <w:i/>
          <w:iCs/>
        </w:rPr>
        <w:t>Wānanga/Talanoa/Dialogue or Workshop</w:t>
      </w:r>
    </w:p>
    <w:p w14:paraId="1842055D" w14:textId="58C576E0" w:rsidR="00B02D57" w:rsidRDefault="00B02D57" w:rsidP="00B02D57">
      <w:pPr>
        <w:rPr>
          <w:b/>
          <w:bCs/>
        </w:rPr>
      </w:pPr>
      <w:proofErr w:type="spellStart"/>
      <w:r>
        <w:rPr>
          <w:b/>
          <w:bCs/>
        </w:rPr>
        <w:t>Poipoia</w:t>
      </w:r>
      <w:proofErr w:type="spellEnd"/>
      <w:r>
        <w:rPr>
          <w:b/>
          <w:bCs/>
        </w:rPr>
        <w:t xml:space="preserve"> </w:t>
      </w:r>
      <w:proofErr w:type="spellStart"/>
      <w:r>
        <w:rPr>
          <w:b/>
          <w:bCs/>
        </w:rPr>
        <w:t>te</w:t>
      </w:r>
      <w:proofErr w:type="spellEnd"/>
      <w:r>
        <w:rPr>
          <w:b/>
          <w:bCs/>
        </w:rPr>
        <w:t xml:space="preserve"> </w:t>
      </w:r>
      <w:proofErr w:type="spellStart"/>
      <w:r>
        <w:rPr>
          <w:b/>
          <w:bCs/>
        </w:rPr>
        <w:t>kakano</w:t>
      </w:r>
      <w:proofErr w:type="spellEnd"/>
      <w:r>
        <w:rPr>
          <w:b/>
          <w:bCs/>
        </w:rPr>
        <w:t xml:space="preserve"> kia </w:t>
      </w:r>
      <w:proofErr w:type="spellStart"/>
      <w:r>
        <w:rPr>
          <w:b/>
          <w:bCs/>
        </w:rPr>
        <w:t>Puawai</w:t>
      </w:r>
      <w:proofErr w:type="spellEnd"/>
      <w:r>
        <w:rPr>
          <w:b/>
          <w:bCs/>
        </w:rPr>
        <w:t>: Future Proofing Indigenous Food Systems in a Changing Climate</w:t>
      </w:r>
    </w:p>
    <w:p w14:paraId="0F51BBE8" w14:textId="1F62B4BF" w:rsidR="00B02D57" w:rsidRDefault="00B02D57" w:rsidP="00B02D57">
      <w:pPr>
        <w:rPr>
          <w:b/>
          <w:bCs/>
        </w:rPr>
      </w:pPr>
      <w:r>
        <w:rPr>
          <w:b/>
          <w:bCs/>
        </w:rPr>
        <w:t xml:space="preserve">Dr </w:t>
      </w:r>
      <w:r w:rsidR="00B82B34">
        <w:rPr>
          <w:b/>
          <w:bCs/>
        </w:rPr>
        <w:t>Deborah (</w:t>
      </w:r>
      <w:r>
        <w:rPr>
          <w:b/>
          <w:bCs/>
        </w:rPr>
        <w:t>Tepora</w:t>
      </w:r>
      <w:r w:rsidR="00B82B34">
        <w:rPr>
          <w:b/>
          <w:bCs/>
        </w:rPr>
        <w:t>)</w:t>
      </w:r>
      <w:r>
        <w:rPr>
          <w:b/>
          <w:bCs/>
        </w:rPr>
        <w:t xml:space="preserve"> Davies and Maria Barnes</w:t>
      </w:r>
    </w:p>
    <w:p w14:paraId="720941CE" w14:textId="77777777" w:rsidR="001129DD" w:rsidRDefault="001129DD" w:rsidP="00B02D57"/>
    <w:p w14:paraId="1A546C2F" w14:textId="0AAB8B3C" w:rsidR="00B02D57" w:rsidRDefault="00B02D57" w:rsidP="00B02D57">
      <w:r w:rsidRPr="00B02D57">
        <w:t>Indigenous food systems have long been resilient, adapting to environmental changes through deep ecological knowledge, diverse agricultural practices, and sustainable harvesting techniques. However, climate change, land loss, and industrial food systems threaten traditional foodways, requiring innovative adaptation strategies to ensure food sovereignty for Indigenous communities.</w:t>
      </w:r>
    </w:p>
    <w:p w14:paraId="46DE5BB9" w14:textId="77777777" w:rsidR="00B02D57" w:rsidRDefault="00B02D57" w:rsidP="00B02D57"/>
    <w:p w14:paraId="5FB58946" w14:textId="77777777" w:rsidR="00A05AD0" w:rsidRDefault="00B02D57" w:rsidP="00B02D57">
      <w:r>
        <w:t xml:space="preserve">This facilitated discussion group will be led by Tepora Davies and Maria Barnes who have recently completed PhDs with Otago University focusing on food sovereignty. </w:t>
      </w:r>
    </w:p>
    <w:p w14:paraId="01317981" w14:textId="77777777" w:rsidR="008101DE" w:rsidRDefault="008101DE" w:rsidP="00B02D57"/>
    <w:p w14:paraId="2D917CA9" w14:textId="25954FAB" w:rsidR="008101DE" w:rsidRPr="008101DE" w:rsidRDefault="008101DE" w:rsidP="008101DE">
      <w:pPr>
        <w:rPr>
          <w:rFonts w:eastAsia="Calibri" w:cs="Arial"/>
          <w:color w:val="000000"/>
          <w:lang w:val="en-GB"/>
        </w:rPr>
      </w:pPr>
      <w:r w:rsidRPr="008101DE">
        <w:rPr>
          <w:rFonts w:cs="Arial"/>
          <w:color w:val="202020"/>
        </w:rPr>
        <w:t xml:space="preserve">With over 20 years working in primary and intermediate schools, </w:t>
      </w:r>
      <w:r>
        <w:rPr>
          <w:rFonts w:cs="Arial"/>
          <w:color w:val="202020"/>
        </w:rPr>
        <w:t>T</w:t>
      </w:r>
      <w:r w:rsidRPr="008101DE">
        <w:rPr>
          <w:rFonts w:cs="Arial"/>
          <w:color w:val="202020"/>
        </w:rPr>
        <w:t>e</w:t>
      </w:r>
      <w:r>
        <w:rPr>
          <w:rFonts w:cs="Arial"/>
          <w:color w:val="202020"/>
        </w:rPr>
        <w:t>p</w:t>
      </w:r>
      <w:r w:rsidRPr="008101DE">
        <w:rPr>
          <w:rFonts w:cs="Arial"/>
          <w:color w:val="202020"/>
        </w:rPr>
        <w:t>ora specialise</w:t>
      </w:r>
      <w:r w:rsidR="00597E45">
        <w:rPr>
          <w:rFonts w:cs="Arial"/>
          <w:color w:val="202020"/>
        </w:rPr>
        <w:t>s</w:t>
      </w:r>
      <w:r w:rsidRPr="008101DE">
        <w:rPr>
          <w:rFonts w:cs="Arial"/>
          <w:color w:val="202020"/>
        </w:rPr>
        <w:t xml:space="preserve"> in edible gardens and environmental education.  She is currently employed for 2 days a week at Whareorino School, Waikawau, a small rural school in the Waitomo district, focussing on environmental education and the school’s participation in the Garden to Table programme.</w:t>
      </w:r>
      <w:r>
        <w:rPr>
          <w:rFonts w:cs="Arial"/>
          <w:color w:val="202020"/>
        </w:rPr>
        <w:t xml:space="preserve"> </w:t>
      </w:r>
      <w:r w:rsidRPr="008101DE">
        <w:rPr>
          <w:rFonts w:eastAsia="Calibri" w:cs="Arial"/>
          <w:color w:val="000000"/>
          <w:lang w:val="en-GB"/>
        </w:rPr>
        <w:t>T</w:t>
      </w:r>
      <w:r w:rsidRPr="008101DE">
        <w:rPr>
          <w:rFonts w:cs="Arial"/>
          <w:color w:val="000000"/>
          <w:lang w:val="en-GB"/>
        </w:rPr>
        <w:t xml:space="preserve">he opportunity to experience food production and sustainability at the kura level offers potential for </w:t>
      </w:r>
      <w:r w:rsidR="00597E45">
        <w:rPr>
          <w:rFonts w:cs="Arial"/>
          <w:color w:val="000000"/>
          <w:lang w:val="en-GB"/>
        </w:rPr>
        <w:t xml:space="preserve">the </w:t>
      </w:r>
      <w:r w:rsidRPr="008101DE">
        <w:rPr>
          <w:rFonts w:cs="Arial"/>
          <w:color w:val="000000"/>
          <w:lang w:val="en-GB"/>
        </w:rPr>
        <w:t xml:space="preserve">future, </w:t>
      </w:r>
      <w:r w:rsidR="00597E45">
        <w:rPr>
          <w:rFonts w:cs="Arial"/>
          <w:color w:val="000000"/>
          <w:lang w:val="en-GB"/>
        </w:rPr>
        <w:t xml:space="preserve">leading to </w:t>
      </w:r>
      <w:r w:rsidRPr="008101DE">
        <w:rPr>
          <w:rFonts w:cs="Arial"/>
          <w:color w:val="000000"/>
          <w:lang w:val="en-GB"/>
        </w:rPr>
        <w:t>continued production at the whānau and kāinga levels</w:t>
      </w:r>
      <w:r w:rsidR="00597E45">
        <w:rPr>
          <w:rFonts w:cs="Arial"/>
          <w:color w:val="000000"/>
          <w:lang w:val="en-GB"/>
        </w:rPr>
        <w:t>, resulting in a triadic relationship between kāinga, marae and kura.</w:t>
      </w:r>
      <w:r w:rsidRPr="008101DE">
        <w:rPr>
          <w:rFonts w:cs="Arial"/>
          <w:color w:val="000000"/>
          <w:lang w:val="en-GB"/>
        </w:rPr>
        <w:t xml:space="preserve">  Mahinga kai in kura is not THE answer to food sustainability but it is ONE answer. </w:t>
      </w:r>
    </w:p>
    <w:p w14:paraId="70118E91" w14:textId="4C55D13B" w:rsidR="008101DE" w:rsidRPr="008101DE" w:rsidRDefault="008101DE" w:rsidP="008101DE">
      <w:pPr>
        <w:pStyle w:val="NormalWeb"/>
        <w:rPr>
          <w:rFonts w:asciiTheme="minorHAnsi" w:hAnsiTheme="minorHAnsi" w:cs="Arial"/>
          <w:color w:val="202020"/>
        </w:rPr>
      </w:pPr>
    </w:p>
    <w:p w14:paraId="2F40509B" w14:textId="6C9742DD" w:rsidR="00B02D57" w:rsidRDefault="00B02D57" w:rsidP="00B02D57"/>
    <w:p w14:paraId="6CD221E3" w14:textId="5714ED77" w:rsidR="00B02D57" w:rsidRDefault="00B02D57" w:rsidP="00B02D57">
      <w:r>
        <w:t>Maria has developed Te Anga Aria Kai which is a framework to support future proofing food systems in the Hokianga, Northland. She will share the journey that her people have taken in order to gain food security, food sovereignty and food resilience in Hokianga and He Kete Kai o Hokianga a food network that supports feeding families and kuia and kaumatua.</w:t>
      </w:r>
    </w:p>
    <w:p w14:paraId="2AF790CC" w14:textId="77777777" w:rsidR="00B02D57" w:rsidRPr="00B02D57" w:rsidRDefault="00B02D57" w:rsidP="00B02D57"/>
    <w:p w14:paraId="33C6F78E" w14:textId="285FA389" w:rsidR="00B02D57" w:rsidRPr="00B02D57" w:rsidRDefault="00B02D57" w:rsidP="00B02D57">
      <w:r w:rsidRPr="00B02D57">
        <w:t>T</w:t>
      </w:r>
      <w:r>
        <w:t>he</w:t>
      </w:r>
      <w:r w:rsidRPr="00B02D57">
        <w:t xml:space="preserve"> facilitated discussion group will bring together Indigenous knowledge holders, </w:t>
      </w:r>
      <w:r>
        <w:t xml:space="preserve">growers, </w:t>
      </w:r>
      <w:r w:rsidRPr="00B02D57">
        <w:t xml:space="preserve"> food sovereignty advocates, </w:t>
      </w:r>
      <w:r w:rsidR="008101DE">
        <w:t xml:space="preserve">educators </w:t>
      </w:r>
      <w:r w:rsidRPr="00B02D57">
        <w:t xml:space="preserve">and researchers to explore adaptation strategies for Indigenous food systems. Participants will engage in collective knowledge-sharing, identifying the key challenges posed by climate change and other </w:t>
      </w:r>
      <w:r w:rsidRPr="00B02D57">
        <w:lastRenderedPageBreak/>
        <w:t xml:space="preserve">pressures while highlighting community-driven solutions. The discussion will focus on traditional ecological knowledge, seed preservation, </w:t>
      </w:r>
      <w:r>
        <w:t xml:space="preserve">kaitiakitanga of </w:t>
      </w:r>
      <w:r w:rsidRPr="00B02D57">
        <w:t>water and land, and policy advocacy to strengthen Indigenous food sovereignty in the face of ongoing environmental and social changes.</w:t>
      </w:r>
    </w:p>
    <w:p w14:paraId="399C4CE7" w14:textId="77777777" w:rsidR="00B02D57" w:rsidRDefault="00B02D57" w:rsidP="00B02D57">
      <w:pPr>
        <w:rPr>
          <w:b/>
          <w:bCs/>
        </w:rPr>
      </w:pPr>
    </w:p>
    <w:p w14:paraId="7313CA11" w14:textId="21FB1D35" w:rsidR="00B02D57" w:rsidRDefault="00B02D57" w:rsidP="00B02D57">
      <w:pPr>
        <w:rPr>
          <w:b/>
          <w:bCs/>
        </w:rPr>
      </w:pPr>
      <w:r w:rsidRPr="00B02D57">
        <w:rPr>
          <w:b/>
          <w:bCs/>
        </w:rPr>
        <w:t>Session Goals:</w:t>
      </w:r>
    </w:p>
    <w:p w14:paraId="3CE8A7F1" w14:textId="77777777" w:rsidR="00B02D57" w:rsidRPr="00B02D57" w:rsidRDefault="00B02D57" w:rsidP="00B02D57">
      <w:pPr>
        <w:rPr>
          <w:b/>
          <w:bCs/>
        </w:rPr>
      </w:pPr>
    </w:p>
    <w:p w14:paraId="593BD2F4" w14:textId="77777777" w:rsidR="00B02D57" w:rsidRPr="00B02D57" w:rsidRDefault="00B02D57" w:rsidP="00B02D57">
      <w:pPr>
        <w:numPr>
          <w:ilvl w:val="0"/>
          <w:numId w:val="1"/>
        </w:numPr>
      </w:pPr>
      <w:r w:rsidRPr="00B02D57">
        <w:rPr>
          <w:b/>
          <w:bCs/>
        </w:rPr>
        <w:t>Understand Indigenous Food Adaptation Strategies</w:t>
      </w:r>
      <w:r w:rsidRPr="00B02D57">
        <w:t> – Explore how Indigenous communities have historically adapted to environmental changes and continue to do so today.</w:t>
      </w:r>
    </w:p>
    <w:p w14:paraId="6718C051" w14:textId="77777777" w:rsidR="00B02D57" w:rsidRPr="00B02D57" w:rsidRDefault="00B02D57" w:rsidP="00B02D57">
      <w:pPr>
        <w:numPr>
          <w:ilvl w:val="0"/>
          <w:numId w:val="1"/>
        </w:numPr>
      </w:pPr>
      <w:r w:rsidRPr="00B02D57">
        <w:rPr>
          <w:b/>
          <w:bCs/>
        </w:rPr>
        <w:t>Identify Climate and Policy Challenges</w:t>
      </w:r>
      <w:r w:rsidRPr="00B02D57">
        <w:t> – Discuss the impacts of climate change, industrial agriculture, and colonial food policies on Indigenous food systems.</w:t>
      </w:r>
    </w:p>
    <w:p w14:paraId="3B96CFEC" w14:textId="330F7A80" w:rsidR="00B02D57" w:rsidRPr="00B02D57" w:rsidRDefault="00B02D57" w:rsidP="00B02D57">
      <w:pPr>
        <w:numPr>
          <w:ilvl w:val="0"/>
          <w:numId w:val="1"/>
        </w:numPr>
      </w:pPr>
      <w:r w:rsidRPr="00B02D57">
        <w:rPr>
          <w:b/>
          <w:bCs/>
        </w:rPr>
        <w:t>Share Community-Led Solutions</w:t>
      </w:r>
      <w:r w:rsidRPr="00B02D57">
        <w:t xml:space="preserve"> – Highlight successful examples of Indigenous-led adaptation strategies, </w:t>
      </w:r>
      <w:r>
        <w:t>in schools and communities.</w:t>
      </w:r>
    </w:p>
    <w:p w14:paraId="23B36B2D" w14:textId="77777777" w:rsidR="00B02D57" w:rsidRPr="00B02D57" w:rsidRDefault="00B02D57" w:rsidP="00B02D57">
      <w:pPr>
        <w:numPr>
          <w:ilvl w:val="0"/>
          <w:numId w:val="1"/>
        </w:numPr>
      </w:pPr>
      <w:r w:rsidRPr="00B02D57">
        <w:rPr>
          <w:b/>
          <w:bCs/>
        </w:rPr>
        <w:t>Strengthen Networks for Action</w:t>
      </w:r>
      <w:r w:rsidRPr="00B02D57">
        <w:t> – Foster connections among participants to support ongoing knowledge exchange and collaborative efforts.</w:t>
      </w:r>
    </w:p>
    <w:p w14:paraId="3CE41E4B" w14:textId="77777777" w:rsidR="00B02D57" w:rsidRDefault="00B02D57" w:rsidP="00B02D57">
      <w:pPr>
        <w:rPr>
          <w:b/>
          <w:bCs/>
        </w:rPr>
      </w:pPr>
    </w:p>
    <w:p w14:paraId="35235A0A" w14:textId="73DB3DF0" w:rsidR="00B02D57" w:rsidRPr="00B02D57" w:rsidRDefault="00B02D57" w:rsidP="00B02D57">
      <w:pPr>
        <w:rPr>
          <w:b/>
          <w:bCs/>
        </w:rPr>
      </w:pPr>
      <w:r w:rsidRPr="00B02D57">
        <w:rPr>
          <w:b/>
          <w:bCs/>
        </w:rPr>
        <w:t>Discussion Topics:</w:t>
      </w:r>
    </w:p>
    <w:p w14:paraId="2842106B" w14:textId="77777777" w:rsidR="00B02D57" w:rsidRPr="00B02D57" w:rsidRDefault="00B02D57" w:rsidP="00B02D57">
      <w:pPr>
        <w:numPr>
          <w:ilvl w:val="0"/>
          <w:numId w:val="2"/>
        </w:numPr>
      </w:pPr>
      <w:r w:rsidRPr="00B02D57">
        <w:rPr>
          <w:b/>
          <w:bCs/>
        </w:rPr>
        <w:t>Traditional Knowledge &amp; Ecological Resilience:</w:t>
      </w:r>
      <w:r w:rsidRPr="00B02D57">
        <w:t> How have Indigenous communities historically adapted to environmental changes?</w:t>
      </w:r>
    </w:p>
    <w:p w14:paraId="097CAA19" w14:textId="6DC3765E" w:rsidR="00B02D57" w:rsidRPr="00B02D57" w:rsidRDefault="00B02D57" w:rsidP="00B02D57">
      <w:pPr>
        <w:numPr>
          <w:ilvl w:val="0"/>
          <w:numId w:val="2"/>
        </w:numPr>
      </w:pPr>
      <w:r w:rsidRPr="00B02D57">
        <w:rPr>
          <w:b/>
          <w:bCs/>
        </w:rPr>
        <w:t>Seed Sovereignty &amp; Agroecology:</w:t>
      </w:r>
      <w:r w:rsidRPr="00B02D57">
        <w:t xml:space="preserve"> How can Indigenous seed saving and sustainable </w:t>
      </w:r>
      <w:r>
        <w:t xml:space="preserve">growing </w:t>
      </w:r>
      <w:r w:rsidRPr="00B02D57">
        <w:t>practices support adaptation?</w:t>
      </w:r>
    </w:p>
    <w:p w14:paraId="0E9630AA" w14:textId="77777777" w:rsidR="00B02D57" w:rsidRPr="00B02D57" w:rsidRDefault="00B02D57" w:rsidP="00B02D57">
      <w:pPr>
        <w:numPr>
          <w:ilvl w:val="0"/>
          <w:numId w:val="2"/>
        </w:numPr>
      </w:pPr>
      <w:r w:rsidRPr="00B02D57">
        <w:rPr>
          <w:b/>
          <w:bCs/>
        </w:rPr>
        <w:t>Land &amp; Water Stewardship:</w:t>
      </w:r>
      <w:r w:rsidRPr="00B02D57">
        <w:t> What are the challenges and opportunities in protecting land and water sources for Indigenous food production?</w:t>
      </w:r>
    </w:p>
    <w:p w14:paraId="32D5AA59" w14:textId="77777777" w:rsidR="00B02D57" w:rsidRPr="00B02D57" w:rsidRDefault="00B02D57" w:rsidP="00B02D57">
      <w:pPr>
        <w:numPr>
          <w:ilvl w:val="0"/>
          <w:numId w:val="2"/>
        </w:numPr>
      </w:pPr>
      <w:r w:rsidRPr="00B02D57">
        <w:rPr>
          <w:b/>
          <w:bCs/>
        </w:rPr>
        <w:t>Policy &amp; Governance:</w:t>
      </w:r>
      <w:r w:rsidRPr="00B02D57">
        <w:t> How can Indigenous-led governance structures support food adaptation and sovereignty?</w:t>
      </w:r>
    </w:p>
    <w:p w14:paraId="49F4E1D6" w14:textId="2DCCBC56" w:rsidR="00B02D57" w:rsidRPr="00B02D57" w:rsidRDefault="00B02D57" w:rsidP="00B02D57">
      <w:pPr>
        <w:numPr>
          <w:ilvl w:val="0"/>
          <w:numId w:val="2"/>
        </w:numPr>
      </w:pPr>
      <w:r w:rsidRPr="00B02D57">
        <w:rPr>
          <w:b/>
          <w:bCs/>
        </w:rPr>
        <w:t>Intergenerational Knowledge Sharing:</w:t>
      </w:r>
      <w:r w:rsidRPr="00B02D57">
        <w:t xml:space="preserve"> How can Indigenous youth </w:t>
      </w:r>
      <w:r>
        <w:t xml:space="preserve">and schools </w:t>
      </w:r>
      <w:r w:rsidRPr="00B02D57">
        <w:t>be engaged in food adaptation strategies?</w:t>
      </w:r>
    </w:p>
    <w:p w14:paraId="7C9D76F7" w14:textId="77777777" w:rsidR="00B02D57" w:rsidRDefault="00B02D57" w:rsidP="00B02D57">
      <w:pPr>
        <w:rPr>
          <w:b/>
          <w:bCs/>
        </w:rPr>
      </w:pPr>
    </w:p>
    <w:p w14:paraId="5288AFD9" w14:textId="7EA0DF24" w:rsidR="00B02D57" w:rsidRPr="00B02D57" w:rsidRDefault="00B02D57" w:rsidP="00B02D57">
      <w:pPr>
        <w:rPr>
          <w:b/>
          <w:bCs/>
        </w:rPr>
      </w:pPr>
      <w:r w:rsidRPr="00B02D57">
        <w:rPr>
          <w:b/>
          <w:bCs/>
        </w:rPr>
        <w:t>Session Format:</w:t>
      </w:r>
    </w:p>
    <w:p w14:paraId="60CF0141" w14:textId="4EF36F61" w:rsidR="00B02D57" w:rsidRPr="00B02D57" w:rsidRDefault="00B02D57" w:rsidP="00B02D57">
      <w:pPr>
        <w:numPr>
          <w:ilvl w:val="0"/>
          <w:numId w:val="3"/>
        </w:numPr>
      </w:pPr>
      <w:r w:rsidRPr="00B02D57">
        <w:rPr>
          <w:b/>
          <w:bCs/>
        </w:rPr>
        <w:t>Welcome &amp; Land Acknowledgment:</w:t>
      </w:r>
      <w:r w:rsidRPr="00B02D57">
        <w:t xml:space="preserve"> Opening </w:t>
      </w:r>
      <w:proofErr w:type="spellStart"/>
      <w:r>
        <w:t>karakia</w:t>
      </w:r>
      <w:proofErr w:type="spellEnd"/>
      <w:r>
        <w:t>, mihi</w:t>
      </w:r>
      <w:r w:rsidRPr="00B02D57">
        <w:t xml:space="preserve"> and</w:t>
      </w:r>
      <w:r>
        <w:t xml:space="preserve"> whakawhanaungatanga</w:t>
      </w:r>
      <w:r w:rsidRPr="00B02D57">
        <w:t>.</w:t>
      </w:r>
    </w:p>
    <w:p w14:paraId="00700A43" w14:textId="31B09852" w:rsidR="00B02D57" w:rsidRPr="00B02D57" w:rsidRDefault="00B02D57" w:rsidP="00B02D57">
      <w:pPr>
        <w:numPr>
          <w:ilvl w:val="0"/>
          <w:numId w:val="3"/>
        </w:numPr>
      </w:pPr>
      <w:r w:rsidRPr="00B02D57">
        <w:rPr>
          <w:b/>
          <w:bCs/>
        </w:rPr>
        <w:lastRenderedPageBreak/>
        <w:t>Knowledge Sharing:</w:t>
      </w:r>
      <w:r w:rsidRPr="00B02D57">
        <w:t> Brief insights from Indigenous food leaders and practitioners.</w:t>
      </w:r>
    </w:p>
    <w:p w14:paraId="6546522D" w14:textId="42A2756F" w:rsidR="00B02D57" w:rsidRPr="00B02D57" w:rsidRDefault="00B02D57" w:rsidP="00B02D57">
      <w:pPr>
        <w:numPr>
          <w:ilvl w:val="0"/>
          <w:numId w:val="3"/>
        </w:numPr>
      </w:pPr>
      <w:r w:rsidRPr="00B02D57">
        <w:rPr>
          <w:b/>
          <w:bCs/>
        </w:rPr>
        <w:t>Facilitated Discussion:</w:t>
      </w:r>
      <w:r w:rsidRPr="00B02D57">
        <w:t> Small and large group discussions on key adaptation strategies.</w:t>
      </w:r>
    </w:p>
    <w:p w14:paraId="55CB7E23" w14:textId="3BDC6AF9" w:rsidR="00B02D57" w:rsidRPr="00B02D57" w:rsidRDefault="00B02D57" w:rsidP="00B02D57">
      <w:pPr>
        <w:numPr>
          <w:ilvl w:val="0"/>
          <w:numId w:val="3"/>
        </w:numPr>
      </w:pPr>
      <w:r w:rsidRPr="00B02D57">
        <w:rPr>
          <w:b/>
          <w:bCs/>
        </w:rPr>
        <w:t>Collective Reflection &amp; Next Steps:</w:t>
      </w:r>
      <w:r w:rsidRPr="00B02D57">
        <w:t> Identifying key takeaways and potential collaborations.</w:t>
      </w:r>
    </w:p>
    <w:p w14:paraId="070C87ED" w14:textId="77777777" w:rsidR="00B02D57" w:rsidRDefault="00B02D57" w:rsidP="00B02D57">
      <w:pPr>
        <w:rPr>
          <w:b/>
          <w:bCs/>
        </w:rPr>
      </w:pPr>
    </w:p>
    <w:p w14:paraId="7AB2D855" w14:textId="3FE9CA8E" w:rsidR="00B02D57" w:rsidRPr="00B02D57" w:rsidRDefault="00B02D57" w:rsidP="00B02D57">
      <w:pPr>
        <w:rPr>
          <w:b/>
          <w:bCs/>
        </w:rPr>
      </w:pPr>
      <w:r w:rsidRPr="00B02D57">
        <w:rPr>
          <w:b/>
          <w:bCs/>
        </w:rPr>
        <w:t>Target Audience:</w:t>
      </w:r>
    </w:p>
    <w:p w14:paraId="3A2229FE" w14:textId="76F7E900" w:rsidR="00B02D57" w:rsidRPr="00B02D57" w:rsidRDefault="00B02D57" w:rsidP="00B02D57">
      <w:r w:rsidRPr="00B02D57">
        <w:t xml:space="preserve">Indigenous food sovereignty advocates, </w:t>
      </w:r>
      <w:r>
        <w:t>growers</w:t>
      </w:r>
      <w:r w:rsidRPr="00B02D57">
        <w:t>, environmental activists, policymakers, educators, and researchers interested in Indigenous-led adaptation strategies.</w:t>
      </w:r>
    </w:p>
    <w:p w14:paraId="0D33A7A6" w14:textId="77777777" w:rsidR="00B02D57" w:rsidRDefault="00B02D57" w:rsidP="00B02D57">
      <w:pPr>
        <w:rPr>
          <w:b/>
          <w:bCs/>
        </w:rPr>
      </w:pPr>
    </w:p>
    <w:p w14:paraId="4BB1CB84" w14:textId="63CEBCF3" w:rsidR="00B02D57" w:rsidRPr="00B02D57" w:rsidRDefault="00B02D57" w:rsidP="00B02D57">
      <w:pPr>
        <w:rPr>
          <w:b/>
          <w:bCs/>
        </w:rPr>
      </w:pPr>
      <w:r w:rsidRPr="00B02D57">
        <w:rPr>
          <w:b/>
          <w:bCs/>
        </w:rPr>
        <w:t>Expected Outcomes:</w:t>
      </w:r>
    </w:p>
    <w:p w14:paraId="7ED96369" w14:textId="77777777" w:rsidR="00B02D57" w:rsidRPr="00B02D57" w:rsidRDefault="00B02D57" w:rsidP="00B02D57">
      <w:pPr>
        <w:numPr>
          <w:ilvl w:val="0"/>
          <w:numId w:val="4"/>
        </w:numPr>
      </w:pPr>
      <w:r w:rsidRPr="00B02D57">
        <w:t>A deeper understanding of Indigenous food adaptation strategies.</w:t>
      </w:r>
    </w:p>
    <w:p w14:paraId="74C7B8E3" w14:textId="77777777" w:rsidR="00B02D57" w:rsidRPr="00B02D57" w:rsidRDefault="00B02D57" w:rsidP="00B02D57">
      <w:pPr>
        <w:numPr>
          <w:ilvl w:val="0"/>
          <w:numId w:val="4"/>
        </w:numPr>
      </w:pPr>
      <w:r w:rsidRPr="00B02D57">
        <w:t>A shared knowledge base of challenges and solutions.</w:t>
      </w:r>
    </w:p>
    <w:p w14:paraId="2D0CE583" w14:textId="77777777" w:rsidR="00B02D57" w:rsidRPr="00B02D57" w:rsidRDefault="00B02D57" w:rsidP="00B02D57">
      <w:pPr>
        <w:numPr>
          <w:ilvl w:val="0"/>
          <w:numId w:val="4"/>
        </w:numPr>
      </w:pPr>
      <w:r w:rsidRPr="00B02D57">
        <w:t>Strengthened connections among participants for continued collaboration.</w:t>
      </w:r>
    </w:p>
    <w:p w14:paraId="62CD8E9B" w14:textId="3CA35F41" w:rsidR="00B02D57" w:rsidRPr="00B02D57" w:rsidRDefault="00B02D57" w:rsidP="00B02D57">
      <w:pPr>
        <w:numPr>
          <w:ilvl w:val="0"/>
          <w:numId w:val="4"/>
        </w:numPr>
      </w:pPr>
      <w:r w:rsidRPr="00B02D57">
        <w:t>Identified actions and next steps to support Indigenous food adaptation efforts</w:t>
      </w:r>
      <w:r w:rsidR="00A05AD0">
        <w:t xml:space="preserve"> within kāinga (communities) and kura (schools)</w:t>
      </w:r>
      <w:r w:rsidRPr="00B02D57">
        <w:t>.</w:t>
      </w:r>
    </w:p>
    <w:p w14:paraId="02E4BD1C" w14:textId="77777777" w:rsidR="00B02D57" w:rsidRPr="00B02D57" w:rsidRDefault="00B02D57" w:rsidP="00B02D57"/>
    <w:p w14:paraId="2DD5F7D4" w14:textId="77777777" w:rsidR="00E347D4" w:rsidRDefault="00E347D4"/>
    <w:sectPr w:rsidR="00E34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7F10"/>
    <w:multiLevelType w:val="multilevel"/>
    <w:tmpl w:val="9A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116A8"/>
    <w:multiLevelType w:val="multilevel"/>
    <w:tmpl w:val="E2C6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2499F"/>
    <w:multiLevelType w:val="multilevel"/>
    <w:tmpl w:val="40F8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B4423"/>
    <w:multiLevelType w:val="multilevel"/>
    <w:tmpl w:val="5724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6598985">
    <w:abstractNumId w:val="3"/>
  </w:num>
  <w:num w:numId="2" w16cid:durableId="128785074">
    <w:abstractNumId w:val="0"/>
  </w:num>
  <w:num w:numId="3" w16cid:durableId="1802919499">
    <w:abstractNumId w:val="2"/>
  </w:num>
  <w:num w:numId="4" w16cid:durableId="1268348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57"/>
    <w:rsid w:val="00026DB8"/>
    <w:rsid w:val="001129DD"/>
    <w:rsid w:val="002F5D09"/>
    <w:rsid w:val="003312EB"/>
    <w:rsid w:val="0042076E"/>
    <w:rsid w:val="00597E45"/>
    <w:rsid w:val="005D0B00"/>
    <w:rsid w:val="00601293"/>
    <w:rsid w:val="0064459E"/>
    <w:rsid w:val="006B404B"/>
    <w:rsid w:val="008101DE"/>
    <w:rsid w:val="00A05AD0"/>
    <w:rsid w:val="00AB78E8"/>
    <w:rsid w:val="00B02D57"/>
    <w:rsid w:val="00B82B34"/>
    <w:rsid w:val="00C706EF"/>
    <w:rsid w:val="00CA3C30"/>
    <w:rsid w:val="00DA0774"/>
    <w:rsid w:val="00DA7ED0"/>
    <w:rsid w:val="00DD7956"/>
    <w:rsid w:val="00E347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3C15"/>
  <w15:chartTrackingRefBased/>
  <w15:docId w15:val="{22DAE754-75BB-0F42-B1CB-9C131F2A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D57"/>
    <w:rPr>
      <w:rFonts w:eastAsiaTheme="majorEastAsia" w:cstheme="majorBidi"/>
      <w:color w:val="272727" w:themeColor="text1" w:themeTint="D8"/>
    </w:rPr>
  </w:style>
  <w:style w:type="paragraph" w:styleId="Title">
    <w:name w:val="Title"/>
    <w:basedOn w:val="Normal"/>
    <w:next w:val="Normal"/>
    <w:link w:val="TitleChar"/>
    <w:uiPriority w:val="10"/>
    <w:qFormat/>
    <w:rsid w:val="00B0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D57"/>
    <w:pPr>
      <w:spacing w:before="160"/>
      <w:jc w:val="center"/>
    </w:pPr>
    <w:rPr>
      <w:i/>
      <w:iCs/>
      <w:color w:val="404040" w:themeColor="text1" w:themeTint="BF"/>
    </w:rPr>
  </w:style>
  <w:style w:type="character" w:customStyle="1" w:styleId="QuoteChar">
    <w:name w:val="Quote Char"/>
    <w:basedOn w:val="DefaultParagraphFont"/>
    <w:link w:val="Quote"/>
    <w:uiPriority w:val="29"/>
    <w:rsid w:val="00B02D57"/>
    <w:rPr>
      <w:i/>
      <w:iCs/>
      <w:color w:val="404040" w:themeColor="text1" w:themeTint="BF"/>
    </w:rPr>
  </w:style>
  <w:style w:type="paragraph" w:styleId="ListParagraph">
    <w:name w:val="List Paragraph"/>
    <w:basedOn w:val="Normal"/>
    <w:uiPriority w:val="34"/>
    <w:qFormat/>
    <w:rsid w:val="00B02D57"/>
    <w:pPr>
      <w:ind w:left="720"/>
      <w:contextualSpacing/>
    </w:pPr>
  </w:style>
  <w:style w:type="character" w:styleId="IntenseEmphasis">
    <w:name w:val="Intense Emphasis"/>
    <w:basedOn w:val="DefaultParagraphFont"/>
    <w:uiPriority w:val="21"/>
    <w:qFormat/>
    <w:rsid w:val="00B02D57"/>
    <w:rPr>
      <w:i/>
      <w:iCs/>
      <w:color w:val="0F4761" w:themeColor="accent1" w:themeShade="BF"/>
    </w:rPr>
  </w:style>
  <w:style w:type="paragraph" w:styleId="IntenseQuote">
    <w:name w:val="Intense Quote"/>
    <w:basedOn w:val="Normal"/>
    <w:next w:val="Normal"/>
    <w:link w:val="IntenseQuoteChar"/>
    <w:uiPriority w:val="30"/>
    <w:qFormat/>
    <w:rsid w:val="00B02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D57"/>
    <w:rPr>
      <w:i/>
      <w:iCs/>
      <w:color w:val="0F4761" w:themeColor="accent1" w:themeShade="BF"/>
    </w:rPr>
  </w:style>
  <w:style w:type="character" w:styleId="IntenseReference">
    <w:name w:val="Intense Reference"/>
    <w:basedOn w:val="DefaultParagraphFont"/>
    <w:uiPriority w:val="32"/>
    <w:qFormat/>
    <w:rsid w:val="00B02D57"/>
    <w:rPr>
      <w:b/>
      <w:bCs/>
      <w:smallCaps/>
      <w:color w:val="0F4761" w:themeColor="accent1" w:themeShade="BF"/>
      <w:spacing w:val="5"/>
    </w:rPr>
  </w:style>
  <w:style w:type="paragraph" w:styleId="NormalWeb">
    <w:name w:val="Normal (Web)"/>
    <w:basedOn w:val="Normal"/>
    <w:uiPriority w:val="99"/>
    <w:unhideWhenUsed/>
    <w:rsid w:val="008101D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96177">
      <w:bodyDiv w:val="1"/>
      <w:marLeft w:val="0"/>
      <w:marRight w:val="0"/>
      <w:marTop w:val="0"/>
      <w:marBottom w:val="0"/>
      <w:divBdr>
        <w:top w:val="none" w:sz="0" w:space="0" w:color="auto"/>
        <w:left w:val="none" w:sz="0" w:space="0" w:color="auto"/>
        <w:bottom w:val="none" w:sz="0" w:space="0" w:color="auto"/>
        <w:right w:val="none" w:sz="0" w:space="0" w:color="auto"/>
      </w:divBdr>
    </w:div>
    <w:div w:id="7807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Barnes</dc:creator>
  <cp:keywords/>
  <dc:description/>
  <cp:lastModifiedBy>Bethany Yee</cp:lastModifiedBy>
  <cp:revision>8</cp:revision>
  <dcterms:created xsi:type="dcterms:W3CDTF">2025-02-26T04:17:00Z</dcterms:created>
  <dcterms:modified xsi:type="dcterms:W3CDTF">2025-08-18T23:12:00Z</dcterms:modified>
</cp:coreProperties>
</file>