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5760CB" w:rsidRPr="0050053A" w14:paraId="315B520D" w14:textId="77777777" w:rsidTr="2F4FA96E">
        <w:trPr>
          <w:jc w:val="center"/>
        </w:trPr>
        <w:tc>
          <w:tcPr>
            <w:tcW w:w="10348" w:type="dxa"/>
            <w:shd w:val="clear" w:color="auto" w:fill="auto"/>
          </w:tcPr>
          <w:p w14:paraId="22DDC856" w14:textId="3352A1EA" w:rsidR="005760CB" w:rsidRPr="0050053A" w:rsidRDefault="005760CB" w:rsidP="000117D4">
            <w:pPr>
              <w:spacing w:before="120" w:after="120"/>
              <w:rPr>
                <w:rFonts w:ascii="Arial" w:hAnsi="Arial" w:cs="Arial"/>
                <w:b/>
                <w:sz w:val="22"/>
                <w:szCs w:val="22"/>
                <w:lang w:val="en-US" w:eastAsia="zh-CN"/>
              </w:rPr>
            </w:pPr>
            <w:r>
              <w:rPr>
                <w:rFonts w:ascii="Arial" w:hAnsi="Arial" w:cs="Arial"/>
                <w:b/>
                <w:sz w:val="22"/>
                <w:szCs w:val="22"/>
                <w:lang w:val="en-US" w:eastAsia="en-GB"/>
              </w:rPr>
              <w:t>Application of discharge criteria on sleep apnoea patients in clinic</w:t>
            </w:r>
          </w:p>
        </w:tc>
      </w:tr>
      <w:tr w:rsidR="005760CB" w:rsidRPr="0050053A" w14:paraId="7A055B21" w14:textId="77777777" w:rsidTr="2F4FA96E">
        <w:trPr>
          <w:jc w:val="center"/>
        </w:trPr>
        <w:tc>
          <w:tcPr>
            <w:tcW w:w="10348" w:type="dxa"/>
            <w:shd w:val="clear" w:color="auto" w:fill="auto"/>
          </w:tcPr>
          <w:p w14:paraId="17678927" w14:textId="77777777" w:rsidR="005760CB" w:rsidRPr="00413B94" w:rsidRDefault="005760CB" w:rsidP="000117D4">
            <w:pPr>
              <w:spacing w:before="120" w:after="120"/>
              <w:rPr>
                <w:rFonts w:ascii="Arial" w:hAnsi="Arial" w:cs="Arial"/>
                <w:sz w:val="22"/>
                <w:szCs w:val="22"/>
                <w:u w:val="single"/>
                <w:lang w:eastAsia="zh-CN"/>
              </w:rPr>
            </w:pPr>
            <w:r w:rsidRPr="00D45710">
              <w:rPr>
                <w:rFonts w:ascii="Arial" w:hAnsi="Arial" w:cs="Arial"/>
                <w:sz w:val="22"/>
                <w:szCs w:val="22"/>
                <w:lang w:val="en-US" w:eastAsia="en-GB"/>
              </w:rPr>
              <w:t>Kaustuv Raj Joshi</w:t>
            </w:r>
            <w:r w:rsidRPr="00D45710">
              <w:rPr>
                <w:rFonts w:ascii="Arial" w:hAnsi="Arial" w:cs="Arial"/>
                <w:sz w:val="22"/>
                <w:szCs w:val="22"/>
                <w:vertAlign w:val="superscript"/>
                <w:lang w:val="en-US" w:eastAsia="en-GB"/>
              </w:rPr>
              <w:t>1</w:t>
            </w:r>
            <w:bookmarkStart w:id="0" w:name="Text8"/>
            <w:r w:rsidRPr="00D45710">
              <w:rPr>
                <w:rFonts w:ascii="Arial" w:hAnsi="Arial" w:cs="Arial"/>
                <w:sz w:val="22"/>
                <w:szCs w:val="22"/>
                <w:lang w:val="en-US" w:eastAsia="en-GB"/>
              </w:rPr>
              <w:t>,</w:t>
            </w:r>
            <w:bookmarkEnd w:id="0"/>
            <w:r w:rsidRPr="00D45710">
              <w:rPr>
                <w:rFonts w:ascii="Arial" w:hAnsi="Arial" w:cs="Arial"/>
                <w:sz w:val="22"/>
                <w:szCs w:val="22"/>
                <w:lang w:val="en-US" w:eastAsia="en-GB"/>
              </w:rPr>
              <w:t xml:space="preserve"> Samuel Zilm</w:t>
            </w:r>
            <w:r w:rsidRPr="00D45710">
              <w:rPr>
                <w:rFonts w:ascii="Arial" w:hAnsi="Arial" w:cs="Arial"/>
                <w:sz w:val="22"/>
                <w:szCs w:val="22"/>
                <w:vertAlign w:val="superscript"/>
                <w:lang w:val="en-US" w:eastAsia="en-GB"/>
              </w:rPr>
              <w:t>1</w:t>
            </w:r>
            <w:r w:rsidRPr="00D45710">
              <w:rPr>
                <w:rFonts w:ascii="Arial" w:hAnsi="Arial" w:cs="Arial"/>
                <w:sz w:val="22"/>
                <w:szCs w:val="22"/>
                <w:lang w:val="en-US" w:eastAsia="en-GB"/>
              </w:rPr>
              <w:t>, Hervey La</w:t>
            </w:r>
            <w:r>
              <w:rPr>
                <w:rFonts w:ascii="Arial" w:hAnsi="Arial" w:cs="Arial"/>
                <w:sz w:val="22"/>
                <w:szCs w:val="22"/>
                <w:lang w:val="en-US" w:eastAsia="en-GB"/>
              </w:rPr>
              <w:t>u</w:t>
            </w:r>
            <w:r w:rsidRPr="00D45710">
              <w:rPr>
                <w:rFonts w:ascii="Arial" w:hAnsi="Arial" w:cs="Arial"/>
                <w:sz w:val="22"/>
                <w:szCs w:val="22"/>
                <w:vertAlign w:val="superscript"/>
                <w:lang w:val="en-US" w:eastAsia="en-GB"/>
              </w:rPr>
              <w:t>1</w:t>
            </w:r>
          </w:p>
        </w:tc>
      </w:tr>
      <w:tr w:rsidR="005760CB" w:rsidRPr="0050053A" w14:paraId="43279844" w14:textId="77777777" w:rsidTr="2F4FA96E">
        <w:trPr>
          <w:trHeight w:val="136"/>
          <w:jc w:val="center"/>
        </w:trPr>
        <w:tc>
          <w:tcPr>
            <w:tcW w:w="10348" w:type="dxa"/>
            <w:shd w:val="clear" w:color="auto" w:fill="auto"/>
          </w:tcPr>
          <w:p w14:paraId="3A860982" w14:textId="77777777" w:rsidR="005760CB" w:rsidRPr="0050053A" w:rsidRDefault="005760CB" w:rsidP="000117D4">
            <w:pPr>
              <w:spacing w:before="120" w:after="120"/>
              <w:rPr>
                <w:rFonts w:ascii="Arial" w:hAnsi="Arial" w:cs="Arial"/>
                <w:i/>
                <w:sz w:val="22"/>
                <w:szCs w:val="22"/>
                <w:lang w:val="en-US" w:eastAsia="en-GB"/>
              </w:rPr>
            </w:pPr>
            <w:r w:rsidRPr="00D45710">
              <w:rPr>
                <w:rFonts w:ascii="Arial" w:hAnsi="Arial" w:cs="Arial"/>
                <w:i/>
                <w:sz w:val="22"/>
                <w:szCs w:val="22"/>
                <w:vertAlign w:val="superscript"/>
                <w:lang w:val="en-US" w:eastAsia="en-GB"/>
              </w:rPr>
              <w:t>1</w:t>
            </w:r>
            <w:r w:rsidRPr="00D45710">
              <w:rPr>
                <w:rFonts w:ascii="Arial" w:hAnsi="Arial" w:cs="Arial"/>
                <w:i/>
                <w:sz w:val="22"/>
                <w:szCs w:val="22"/>
                <w:lang w:val="en-US" w:eastAsia="en-GB"/>
              </w:rPr>
              <w:t>Department of Thoracic Medicine, Royal Brisbane and Women’s Hospital, Queensland, Australia</w:t>
            </w:r>
          </w:p>
        </w:tc>
      </w:tr>
      <w:tr w:rsidR="005760CB" w:rsidRPr="0050053A" w14:paraId="671E14E1" w14:textId="77777777" w:rsidTr="00923B65">
        <w:trPr>
          <w:trHeight w:hRule="exact" w:val="12534"/>
          <w:jc w:val="center"/>
        </w:trPr>
        <w:tc>
          <w:tcPr>
            <w:tcW w:w="10348" w:type="dxa"/>
            <w:shd w:val="clear" w:color="auto" w:fill="auto"/>
          </w:tcPr>
          <w:p w14:paraId="610952F3" w14:textId="69DFEBB6" w:rsidR="005760CB" w:rsidRPr="00D45710" w:rsidRDefault="005760CB" w:rsidP="000117D4">
            <w:pPr>
              <w:pStyle w:val="Pa12"/>
              <w:jc w:val="both"/>
              <w:rPr>
                <w:sz w:val="22"/>
                <w:szCs w:val="22"/>
              </w:rPr>
            </w:pPr>
            <w:r w:rsidRPr="00D45710">
              <w:rPr>
                <w:rStyle w:val="A4"/>
                <w:b/>
                <w:bCs/>
              </w:rPr>
              <w:t xml:space="preserve">Introduction/Aim: </w:t>
            </w:r>
            <w:r w:rsidRPr="00D45710">
              <w:rPr>
                <w:rStyle w:val="A4"/>
              </w:rPr>
              <w:t xml:space="preserve">Obstructive sleep apnoea (OSA) is increasing in prevalence in Australian adults, with significant burden to health and society. Timely discharge of stable patients from clinic is important in reducing direct costs to the healthcare system, the patient, and to facilitate reduction of clinic waiting times. We assessed the application of a discharge criteria to OSA patients on continuous positive airway pressure (CPAP) therapy </w:t>
            </w:r>
            <w:r w:rsidR="00765120">
              <w:rPr>
                <w:rStyle w:val="A4"/>
              </w:rPr>
              <w:t xml:space="preserve">seen </w:t>
            </w:r>
            <w:r w:rsidRPr="00D45710">
              <w:rPr>
                <w:rStyle w:val="A4"/>
              </w:rPr>
              <w:t>in the sleep clinic.</w:t>
            </w:r>
          </w:p>
          <w:p w14:paraId="3DC023D9" w14:textId="77777777" w:rsidR="005760CB" w:rsidRPr="00D45710" w:rsidRDefault="005760CB" w:rsidP="000117D4">
            <w:pPr>
              <w:pStyle w:val="Pa12"/>
              <w:jc w:val="both"/>
              <w:rPr>
                <w:rStyle w:val="A4"/>
                <w:bCs/>
              </w:rPr>
            </w:pPr>
          </w:p>
          <w:p w14:paraId="0F2C0112" w14:textId="1B94F450" w:rsidR="005760CB" w:rsidRPr="00D45710" w:rsidRDefault="005760CB" w:rsidP="000117D4">
            <w:pPr>
              <w:pStyle w:val="Pa12"/>
              <w:jc w:val="both"/>
              <w:rPr>
                <w:rStyle w:val="A4"/>
              </w:rPr>
            </w:pPr>
            <w:r w:rsidRPr="00D45710">
              <w:rPr>
                <w:rStyle w:val="A4"/>
                <w:b/>
                <w:bCs/>
              </w:rPr>
              <w:t xml:space="preserve">Methods: </w:t>
            </w:r>
            <w:r w:rsidRPr="00D45710">
              <w:rPr>
                <w:rStyle w:val="A4"/>
              </w:rPr>
              <w:t>A retrospective study was performed of consecutive patients with OSA on CPAP therapy seen in the sleep clinic between 1</w:t>
            </w:r>
            <w:r w:rsidRPr="00D45710">
              <w:rPr>
                <w:rStyle w:val="A4"/>
                <w:vertAlign w:val="superscript"/>
              </w:rPr>
              <w:t>st</w:t>
            </w:r>
            <w:r w:rsidRPr="00D45710">
              <w:rPr>
                <w:rStyle w:val="A4"/>
              </w:rPr>
              <w:t xml:space="preserve"> and 30</w:t>
            </w:r>
            <w:r w:rsidRPr="00D45710">
              <w:rPr>
                <w:rStyle w:val="A4"/>
                <w:vertAlign w:val="superscript"/>
              </w:rPr>
              <w:t>th</w:t>
            </w:r>
            <w:r w:rsidRPr="00D45710">
              <w:rPr>
                <w:rStyle w:val="A4"/>
              </w:rPr>
              <w:t xml:space="preserve"> June 2021. New patients, those on bi-level or adaptive servo-ventilation therapy, commercial license holders and those </w:t>
            </w:r>
            <w:r w:rsidR="00765120">
              <w:rPr>
                <w:rStyle w:val="A4"/>
              </w:rPr>
              <w:t>also seen for</w:t>
            </w:r>
            <w:r w:rsidRPr="00D45710">
              <w:rPr>
                <w:rStyle w:val="A4"/>
              </w:rPr>
              <w:t xml:space="preserve"> pulmonary pathology were excluded. Patients were assessed on their eligibility for discharge from clinic based on a set of accepted criteria within the Thoracic Medicine department:</w:t>
            </w:r>
          </w:p>
          <w:p w14:paraId="2631BCB9" w14:textId="77777777" w:rsidR="005760CB" w:rsidRPr="00D45710" w:rsidRDefault="005760CB" w:rsidP="000117D4">
            <w:pPr>
              <w:pStyle w:val="Default"/>
              <w:numPr>
                <w:ilvl w:val="0"/>
                <w:numId w:val="1"/>
              </w:numPr>
              <w:jc w:val="both"/>
              <w:rPr>
                <w:sz w:val="22"/>
                <w:szCs w:val="22"/>
              </w:rPr>
            </w:pPr>
            <w:r w:rsidRPr="00D45710">
              <w:rPr>
                <w:sz w:val="22"/>
                <w:szCs w:val="22"/>
              </w:rPr>
              <w:t xml:space="preserve">Score on the Epworth Sleepiness Scale (ESS) &lt;10, </w:t>
            </w:r>
            <w:r w:rsidRPr="00D45710">
              <w:rPr>
                <w:sz w:val="22"/>
                <w:szCs w:val="22"/>
                <w:u w:val="single"/>
              </w:rPr>
              <w:t>and</w:t>
            </w:r>
          </w:p>
          <w:p w14:paraId="5D21CCFD" w14:textId="77777777" w:rsidR="005760CB" w:rsidRPr="00D45710" w:rsidRDefault="005760CB" w:rsidP="005760CB">
            <w:pPr>
              <w:pStyle w:val="Default"/>
              <w:numPr>
                <w:ilvl w:val="0"/>
                <w:numId w:val="3"/>
              </w:numPr>
              <w:jc w:val="both"/>
              <w:rPr>
                <w:sz w:val="22"/>
                <w:szCs w:val="22"/>
              </w:rPr>
            </w:pPr>
            <w:r w:rsidRPr="00D45710">
              <w:rPr>
                <w:sz w:val="22"/>
                <w:szCs w:val="22"/>
              </w:rPr>
              <w:t xml:space="preserve">Machine-derived apnoea-hypopnoea index (AHI) &lt;5, </w:t>
            </w:r>
            <w:r w:rsidRPr="00D45710">
              <w:rPr>
                <w:sz w:val="22"/>
                <w:szCs w:val="22"/>
                <w:u w:val="single"/>
              </w:rPr>
              <w:t>and</w:t>
            </w:r>
          </w:p>
          <w:p w14:paraId="74C1E032" w14:textId="77777777" w:rsidR="005760CB" w:rsidRPr="00D45710" w:rsidRDefault="005760CB" w:rsidP="005760CB">
            <w:pPr>
              <w:pStyle w:val="Default"/>
              <w:numPr>
                <w:ilvl w:val="0"/>
                <w:numId w:val="3"/>
              </w:numPr>
              <w:jc w:val="both"/>
              <w:rPr>
                <w:sz w:val="22"/>
                <w:szCs w:val="22"/>
              </w:rPr>
            </w:pPr>
            <w:r w:rsidRPr="00D45710">
              <w:rPr>
                <w:sz w:val="22"/>
                <w:szCs w:val="22"/>
              </w:rPr>
              <w:t xml:space="preserve">Average nightly CPAP usage ≥4 hours, </w:t>
            </w:r>
            <w:r w:rsidRPr="00D45710">
              <w:rPr>
                <w:sz w:val="22"/>
                <w:szCs w:val="22"/>
                <w:u w:val="single"/>
              </w:rPr>
              <w:t>and</w:t>
            </w:r>
          </w:p>
          <w:p w14:paraId="4CC2D9A5" w14:textId="77777777" w:rsidR="005760CB" w:rsidRPr="00D45710" w:rsidRDefault="005760CB" w:rsidP="005760CB">
            <w:pPr>
              <w:pStyle w:val="Default"/>
              <w:numPr>
                <w:ilvl w:val="0"/>
                <w:numId w:val="3"/>
              </w:numPr>
              <w:jc w:val="both"/>
              <w:rPr>
                <w:sz w:val="22"/>
                <w:szCs w:val="22"/>
              </w:rPr>
            </w:pPr>
            <w:r w:rsidRPr="00D45710">
              <w:rPr>
                <w:sz w:val="22"/>
                <w:szCs w:val="22"/>
              </w:rPr>
              <w:t>Duration of CPAP therapy &gt;12 months</w:t>
            </w:r>
          </w:p>
          <w:p w14:paraId="6A2475F7" w14:textId="77777777" w:rsidR="005760CB" w:rsidRPr="00D45710" w:rsidRDefault="005760CB" w:rsidP="000117D4">
            <w:pPr>
              <w:pStyle w:val="Pa12"/>
              <w:jc w:val="both"/>
              <w:rPr>
                <w:sz w:val="22"/>
                <w:szCs w:val="22"/>
              </w:rPr>
            </w:pPr>
          </w:p>
          <w:p w14:paraId="13CE7B92" w14:textId="77777777" w:rsidR="005760CB" w:rsidRPr="00FD2F6D" w:rsidRDefault="005760CB" w:rsidP="000117D4">
            <w:pPr>
              <w:pStyle w:val="Pa12"/>
              <w:jc w:val="both"/>
              <w:rPr>
                <w:color w:val="000000"/>
                <w:sz w:val="22"/>
                <w:szCs w:val="22"/>
              </w:rPr>
            </w:pPr>
            <w:r w:rsidRPr="00D45710">
              <w:rPr>
                <w:rStyle w:val="A4"/>
                <w:b/>
                <w:bCs/>
              </w:rPr>
              <w:t xml:space="preserve">Results: </w:t>
            </w:r>
            <w:r w:rsidRPr="00D45710">
              <w:rPr>
                <w:rStyle w:val="A4"/>
              </w:rPr>
              <w:t>47 patients (26 male and 21 female) were included in the study with mean age 57.6±2.2 years (SEM) and mean body mass index 39.8±1.7 kg/m² (SEM). Reviews were conducted either face-to-face (61.7%), on telehealth (19.1%) or via telephone (19.1%). Patient outcomes from the clinic review are listed in Table 1. 7 patients were discharged from clinic, out of whom 2 were de-diagnosed with OSA</w:t>
            </w:r>
            <w:r>
              <w:rPr>
                <w:rStyle w:val="A4"/>
              </w:rPr>
              <w:t xml:space="preserve">, and </w:t>
            </w:r>
            <w:r w:rsidRPr="00D45710">
              <w:rPr>
                <w:rStyle w:val="A4"/>
              </w:rPr>
              <w:t>5 met discharge criteria</w:t>
            </w:r>
            <w:r>
              <w:rPr>
                <w:rStyle w:val="A4"/>
              </w:rPr>
              <w:t xml:space="preserve"> and were discharged to a nurse-led sleep clinic</w:t>
            </w:r>
            <w:r w:rsidRPr="00D45710">
              <w:rPr>
                <w:rStyle w:val="A4"/>
              </w:rPr>
              <w:t xml:space="preserve">. Conversely, 3 patients meeting discharge criteria had continued follow-up </w:t>
            </w:r>
            <w:r>
              <w:rPr>
                <w:rStyle w:val="A4"/>
              </w:rPr>
              <w:t>by the sleep physician.</w:t>
            </w:r>
            <w:r>
              <w:rPr>
                <w:sz w:val="22"/>
                <w:szCs w:val="22"/>
              </w:rPr>
              <w:br/>
            </w:r>
          </w:p>
          <w:tbl>
            <w:tblPr>
              <w:tblStyle w:val="TableGrid"/>
              <w:tblW w:w="0" w:type="auto"/>
              <w:tblLayout w:type="fixed"/>
              <w:tblLook w:val="04A0" w:firstRow="1" w:lastRow="0" w:firstColumn="1" w:lastColumn="0" w:noHBand="0" w:noVBand="1"/>
            </w:tblPr>
            <w:tblGrid>
              <w:gridCol w:w="7090"/>
              <w:gridCol w:w="2286"/>
            </w:tblGrid>
            <w:tr w:rsidR="005760CB" w:rsidRPr="00D45710" w14:paraId="39CA62EC" w14:textId="77777777" w:rsidTr="006952EB">
              <w:trPr>
                <w:trHeight w:val="376"/>
              </w:trPr>
              <w:tc>
                <w:tcPr>
                  <w:tcW w:w="7090" w:type="dxa"/>
                </w:tcPr>
                <w:p w14:paraId="736746A9" w14:textId="77777777" w:rsidR="005760CB" w:rsidRPr="00D45710" w:rsidRDefault="005760CB" w:rsidP="000117D4">
                  <w:pPr>
                    <w:pStyle w:val="Default"/>
                    <w:rPr>
                      <w:b/>
                      <w:bCs/>
                      <w:sz w:val="22"/>
                      <w:szCs w:val="22"/>
                    </w:rPr>
                  </w:pPr>
                  <w:r w:rsidRPr="00D45710">
                    <w:rPr>
                      <w:b/>
                      <w:bCs/>
                      <w:sz w:val="22"/>
                      <w:szCs w:val="22"/>
                    </w:rPr>
                    <w:t>Not discharged</w:t>
                  </w:r>
                </w:p>
              </w:tc>
              <w:tc>
                <w:tcPr>
                  <w:tcW w:w="2286" w:type="dxa"/>
                </w:tcPr>
                <w:p w14:paraId="5C0EAB31" w14:textId="77777777" w:rsidR="005760CB" w:rsidRPr="00D45710" w:rsidRDefault="005760CB" w:rsidP="000117D4">
                  <w:pPr>
                    <w:pStyle w:val="Default"/>
                    <w:rPr>
                      <w:b/>
                      <w:bCs/>
                      <w:sz w:val="22"/>
                      <w:szCs w:val="22"/>
                    </w:rPr>
                  </w:pPr>
                  <w:r w:rsidRPr="00D45710">
                    <w:rPr>
                      <w:b/>
                      <w:bCs/>
                      <w:sz w:val="22"/>
                      <w:szCs w:val="22"/>
                    </w:rPr>
                    <w:t>40/ 47 (85.1%)</w:t>
                  </w:r>
                </w:p>
              </w:tc>
            </w:tr>
            <w:tr w:rsidR="005760CB" w:rsidRPr="00D45710" w14:paraId="52096047" w14:textId="77777777" w:rsidTr="006952EB">
              <w:trPr>
                <w:trHeight w:val="347"/>
              </w:trPr>
              <w:tc>
                <w:tcPr>
                  <w:tcW w:w="7090" w:type="dxa"/>
                </w:tcPr>
                <w:p w14:paraId="2441D5B2" w14:textId="77777777" w:rsidR="005760CB" w:rsidRPr="00D45710" w:rsidRDefault="005760CB" w:rsidP="000117D4">
                  <w:pPr>
                    <w:pStyle w:val="Default"/>
                    <w:rPr>
                      <w:sz w:val="22"/>
                      <w:szCs w:val="22"/>
                    </w:rPr>
                  </w:pPr>
                  <w:r>
                    <w:rPr>
                      <w:sz w:val="22"/>
                      <w:szCs w:val="22"/>
                    </w:rPr>
                    <w:t xml:space="preserve">          </w:t>
                  </w:r>
                  <w:r w:rsidRPr="00D45710">
                    <w:rPr>
                      <w:sz w:val="22"/>
                      <w:szCs w:val="22"/>
                    </w:rPr>
                    <w:t>Change to CPAP settings</w:t>
                  </w:r>
                </w:p>
              </w:tc>
              <w:tc>
                <w:tcPr>
                  <w:tcW w:w="2286" w:type="dxa"/>
                </w:tcPr>
                <w:p w14:paraId="0CAFDEF7" w14:textId="77777777" w:rsidR="005760CB" w:rsidRPr="00D45710" w:rsidRDefault="005760CB" w:rsidP="000117D4">
                  <w:pPr>
                    <w:pStyle w:val="Default"/>
                    <w:rPr>
                      <w:sz w:val="22"/>
                      <w:szCs w:val="22"/>
                    </w:rPr>
                  </w:pPr>
                  <w:r w:rsidRPr="00D45710">
                    <w:rPr>
                      <w:sz w:val="22"/>
                      <w:szCs w:val="22"/>
                    </w:rPr>
                    <w:t>6</w:t>
                  </w:r>
                </w:p>
              </w:tc>
            </w:tr>
            <w:tr w:rsidR="005760CB" w:rsidRPr="00D45710" w14:paraId="17154DF4" w14:textId="77777777" w:rsidTr="006952EB">
              <w:trPr>
                <w:trHeight w:val="376"/>
              </w:trPr>
              <w:tc>
                <w:tcPr>
                  <w:tcW w:w="7090" w:type="dxa"/>
                </w:tcPr>
                <w:p w14:paraId="4CBF669F" w14:textId="77777777" w:rsidR="005760CB" w:rsidRPr="00D45710" w:rsidRDefault="005760CB" w:rsidP="000117D4">
                  <w:pPr>
                    <w:pStyle w:val="Default"/>
                    <w:rPr>
                      <w:sz w:val="22"/>
                      <w:szCs w:val="22"/>
                    </w:rPr>
                  </w:pPr>
                  <w:r>
                    <w:rPr>
                      <w:sz w:val="22"/>
                      <w:szCs w:val="22"/>
                    </w:rPr>
                    <w:t xml:space="preserve">          </w:t>
                  </w:r>
                  <w:r w:rsidRPr="00D45710">
                    <w:rPr>
                      <w:sz w:val="22"/>
                      <w:szCs w:val="22"/>
                    </w:rPr>
                    <w:t>Further investigations ordered</w:t>
                  </w:r>
                </w:p>
              </w:tc>
              <w:tc>
                <w:tcPr>
                  <w:tcW w:w="2286" w:type="dxa"/>
                </w:tcPr>
                <w:p w14:paraId="65D0D201" w14:textId="77777777" w:rsidR="005760CB" w:rsidRPr="00D45710" w:rsidRDefault="005760CB" w:rsidP="000117D4">
                  <w:pPr>
                    <w:pStyle w:val="Default"/>
                    <w:rPr>
                      <w:sz w:val="22"/>
                      <w:szCs w:val="22"/>
                    </w:rPr>
                  </w:pPr>
                  <w:r w:rsidRPr="00D45710">
                    <w:rPr>
                      <w:sz w:val="22"/>
                      <w:szCs w:val="22"/>
                    </w:rPr>
                    <w:t>6</w:t>
                  </w:r>
                </w:p>
              </w:tc>
            </w:tr>
            <w:tr w:rsidR="005760CB" w:rsidRPr="00D45710" w14:paraId="2953F8C1" w14:textId="77777777" w:rsidTr="006952EB">
              <w:trPr>
                <w:trHeight w:val="362"/>
              </w:trPr>
              <w:tc>
                <w:tcPr>
                  <w:tcW w:w="7090" w:type="dxa"/>
                </w:tcPr>
                <w:p w14:paraId="275C3819" w14:textId="77777777" w:rsidR="005760CB" w:rsidRPr="00D45710" w:rsidRDefault="005760CB" w:rsidP="000117D4">
                  <w:pPr>
                    <w:pStyle w:val="Default"/>
                    <w:rPr>
                      <w:sz w:val="22"/>
                      <w:szCs w:val="22"/>
                    </w:rPr>
                  </w:pPr>
                  <w:r>
                    <w:rPr>
                      <w:sz w:val="22"/>
                      <w:szCs w:val="22"/>
                    </w:rPr>
                    <w:t xml:space="preserve">          </w:t>
                  </w:r>
                  <w:r w:rsidRPr="00D45710">
                    <w:rPr>
                      <w:sz w:val="22"/>
                      <w:szCs w:val="22"/>
                    </w:rPr>
                    <w:t>Ongoing assessment for government-subsidised machine</w:t>
                  </w:r>
                </w:p>
              </w:tc>
              <w:tc>
                <w:tcPr>
                  <w:tcW w:w="2286" w:type="dxa"/>
                </w:tcPr>
                <w:p w14:paraId="17E0E23D" w14:textId="77777777" w:rsidR="005760CB" w:rsidRPr="00D45710" w:rsidRDefault="005760CB" w:rsidP="000117D4">
                  <w:pPr>
                    <w:pStyle w:val="Default"/>
                    <w:rPr>
                      <w:sz w:val="22"/>
                      <w:szCs w:val="22"/>
                    </w:rPr>
                  </w:pPr>
                  <w:r w:rsidRPr="00D45710">
                    <w:rPr>
                      <w:sz w:val="22"/>
                      <w:szCs w:val="22"/>
                    </w:rPr>
                    <w:t>6</w:t>
                  </w:r>
                </w:p>
              </w:tc>
            </w:tr>
            <w:tr w:rsidR="005760CB" w:rsidRPr="00D45710" w14:paraId="40430F0C" w14:textId="77777777" w:rsidTr="006952EB">
              <w:trPr>
                <w:trHeight w:val="301"/>
              </w:trPr>
              <w:tc>
                <w:tcPr>
                  <w:tcW w:w="7090" w:type="dxa"/>
                </w:tcPr>
                <w:p w14:paraId="157ADF9B" w14:textId="77777777" w:rsidR="005760CB" w:rsidRPr="00D45710" w:rsidRDefault="005760CB" w:rsidP="000117D4">
                  <w:pPr>
                    <w:pStyle w:val="Default"/>
                    <w:rPr>
                      <w:sz w:val="22"/>
                      <w:szCs w:val="22"/>
                    </w:rPr>
                  </w:pPr>
                  <w:r>
                    <w:rPr>
                      <w:sz w:val="22"/>
                      <w:szCs w:val="22"/>
                    </w:rPr>
                    <w:t xml:space="preserve">          </w:t>
                  </w:r>
                  <w:r w:rsidRPr="00D45710">
                    <w:rPr>
                      <w:sz w:val="22"/>
                      <w:szCs w:val="22"/>
                    </w:rPr>
                    <w:t>Follow-up for secondary sleep issue</w:t>
                  </w:r>
                </w:p>
              </w:tc>
              <w:tc>
                <w:tcPr>
                  <w:tcW w:w="2286" w:type="dxa"/>
                </w:tcPr>
                <w:p w14:paraId="25E0E878" w14:textId="77777777" w:rsidR="005760CB" w:rsidRPr="00D45710" w:rsidRDefault="005760CB" w:rsidP="000117D4">
                  <w:pPr>
                    <w:pStyle w:val="Default"/>
                    <w:rPr>
                      <w:sz w:val="22"/>
                      <w:szCs w:val="22"/>
                    </w:rPr>
                  </w:pPr>
                  <w:r w:rsidRPr="00D45710">
                    <w:rPr>
                      <w:sz w:val="22"/>
                      <w:szCs w:val="22"/>
                    </w:rPr>
                    <w:t>9</w:t>
                  </w:r>
                </w:p>
              </w:tc>
            </w:tr>
            <w:tr w:rsidR="005760CB" w:rsidRPr="00D45710" w14:paraId="03BC5FD7" w14:textId="77777777" w:rsidTr="006952EB">
              <w:trPr>
                <w:trHeight w:val="347"/>
              </w:trPr>
              <w:tc>
                <w:tcPr>
                  <w:tcW w:w="7090" w:type="dxa"/>
                </w:tcPr>
                <w:p w14:paraId="67A515D3" w14:textId="77777777" w:rsidR="005760CB" w:rsidRPr="00D45710" w:rsidRDefault="005760CB" w:rsidP="000117D4">
                  <w:pPr>
                    <w:pStyle w:val="Default"/>
                    <w:rPr>
                      <w:sz w:val="22"/>
                      <w:szCs w:val="22"/>
                    </w:rPr>
                  </w:pPr>
                  <w:r>
                    <w:rPr>
                      <w:sz w:val="22"/>
                      <w:szCs w:val="22"/>
                    </w:rPr>
                    <w:t xml:space="preserve">          </w:t>
                  </w:r>
                  <w:r w:rsidRPr="00D45710">
                    <w:rPr>
                      <w:sz w:val="22"/>
                      <w:szCs w:val="22"/>
                    </w:rPr>
                    <w:t>Not meeting discharge criteria</w:t>
                  </w:r>
                </w:p>
              </w:tc>
              <w:tc>
                <w:tcPr>
                  <w:tcW w:w="2286" w:type="dxa"/>
                </w:tcPr>
                <w:p w14:paraId="43433105" w14:textId="77777777" w:rsidR="005760CB" w:rsidRPr="00D45710" w:rsidRDefault="005760CB" w:rsidP="000117D4">
                  <w:pPr>
                    <w:pStyle w:val="Default"/>
                    <w:rPr>
                      <w:sz w:val="22"/>
                      <w:szCs w:val="22"/>
                    </w:rPr>
                  </w:pPr>
                  <w:r w:rsidRPr="00D45710">
                    <w:rPr>
                      <w:sz w:val="22"/>
                      <w:szCs w:val="22"/>
                    </w:rPr>
                    <w:t>6</w:t>
                  </w:r>
                </w:p>
              </w:tc>
            </w:tr>
            <w:tr w:rsidR="005760CB" w:rsidRPr="00D45710" w14:paraId="6965FA94" w14:textId="77777777" w:rsidTr="006952EB">
              <w:trPr>
                <w:trHeight w:val="376"/>
              </w:trPr>
              <w:tc>
                <w:tcPr>
                  <w:tcW w:w="7090" w:type="dxa"/>
                </w:tcPr>
                <w:p w14:paraId="6CB57878" w14:textId="77777777" w:rsidR="005760CB" w:rsidRPr="00D45710" w:rsidRDefault="005760CB" w:rsidP="000117D4">
                  <w:pPr>
                    <w:pStyle w:val="Default"/>
                    <w:rPr>
                      <w:sz w:val="22"/>
                      <w:szCs w:val="22"/>
                    </w:rPr>
                  </w:pPr>
                  <w:r>
                    <w:rPr>
                      <w:sz w:val="22"/>
                      <w:szCs w:val="22"/>
                    </w:rPr>
                    <w:t xml:space="preserve">          </w:t>
                  </w:r>
                  <w:r w:rsidRPr="00D45710">
                    <w:rPr>
                      <w:sz w:val="22"/>
                      <w:szCs w:val="22"/>
                    </w:rPr>
                    <w:t>Meeting discharge criteria</w:t>
                  </w:r>
                </w:p>
              </w:tc>
              <w:tc>
                <w:tcPr>
                  <w:tcW w:w="2286" w:type="dxa"/>
                </w:tcPr>
                <w:p w14:paraId="08DB8ABC" w14:textId="77777777" w:rsidR="005760CB" w:rsidRPr="00D45710" w:rsidRDefault="005760CB" w:rsidP="000117D4">
                  <w:pPr>
                    <w:pStyle w:val="Default"/>
                    <w:rPr>
                      <w:sz w:val="22"/>
                      <w:szCs w:val="22"/>
                    </w:rPr>
                  </w:pPr>
                  <w:r w:rsidRPr="00D45710">
                    <w:rPr>
                      <w:sz w:val="22"/>
                      <w:szCs w:val="22"/>
                    </w:rPr>
                    <w:t>3</w:t>
                  </w:r>
                </w:p>
              </w:tc>
            </w:tr>
            <w:tr w:rsidR="005760CB" w:rsidRPr="00D45710" w14:paraId="1821E101" w14:textId="77777777" w:rsidTr="006952EB">
              <w:trPr>
                <w:trHeight w:val="376"/>
              </w:trPr>
              <w:tc>
                <w:tcPr>
                  <w:tcW w:w="7090" w:type="dxa"/>
                </w:tcPr>
                <w:p w14:paraId="084AE705" w14:textId="77777777" w:rsidR="005760CB" w:rsidRPr="00D45710" w:rsidRDefault="005760CB" w:rsidP="000117D4">
                  <w:pPr>
                    <w:pStyle w:val="Default"/>
                    <w:rPr>
                      <w:sz w:val="22"/>
                      <w:szCs w:val="22"/>
                    </w:rPr>
                  </w:pPr>
                  <w:r>
                    <w:rPr>
                      <w:sz w:val="22"/>
                      <w:szCs w:val="22"/>
                    </w:rPr>
                    <w:t xml:space="preserve">          </w:t>
                  </w:r>
                  <w:r w:rsidRPr="00D45710">
                    <w:rPr>
                      <w:sz w:val="22"/>
                      <w:szCs w:val="22"/>
                    </w:rPr>
                    <w:t>Discharge criteria not fully assessed</w:t>
                  </w:r>
                </w:p>
              </w:tc>
              <w:tc>
                <w:tcPr>
                  <w:tcW w:w="2286" w:type="dxa"/>
                </w:tcPr>
                <w:p w14:paraId="3C8D69D5" w14:textId="77777777" w:rsidR="005760CB" w:rsidRPr="00D45710" w:rsidRDefault="005760CB" w:rsidP="000117D4">
                  <w:pPr>
                    <w:pStyle w:val="Default"/>
                    <w:rPr>
                      <w:sz w:val="22"/>
                      <w:szCs w:val="22"/>
                    </w:rPr>
                  </w:pPr>
                  <w:r w:rsidRPr="00D45710">
                    <w:rPr>
                      <w:sz w:val="22"/>
                      <w:szCs w:val="22"/>
                    </w:rPr>
                    <w:t>4</w:t>
                  </w:r>
                </w:p>
              </w:tc>
            </w:tr>
            <w:tr w:rsidR="005760CB" w:rsidRPr="00D45710" w14:paraId="645005C0" w14:textId="77777777" w:rsidTr="006952EB">
              <w:trPr>
                <w:trHeight w:val="376"/>
              </w:trPr>
              <w:tc>
                <w:tcPr>
                  <w:tcW w:w="7090" w:type="dxa"/>
                </w:tcPr>
                <w:p w14:paraId="66C1A7EC" w14:textId="77777777" w:rsidR="005760CB" w:rsidRPr="00D45710" w:rsidRDefault="005760CB" w:rsidP="000117D4">
                  <w:pPr>
                    <w:pStyle w:val="Default"/>
                    <w:rPr>
                      <w:b/>
                      <w:bCs/>
                      <w:sz w:val="22"/>
                      <w:szCs w:val="22"/>
                    </w:rPr>
                  </w:pPr>
                  <w:r w:rsidRPr="00D45710">
                    <w:rPr>
                      <w:b/>
                      <w:bCs/>
                      <w:sz w:val="22"/>
                      <w:szCs w:val="22"/>
                    </w:rPr>
                    <w:t>Discharged</w:t>
                  </w:r>
                </w:p>
              </w:tc>
              <w:tc>
                <w:tcPr>
                  <w:tcW w:w="2286" w:type="dxa"/>
                </w:tcPr>
                <w:p w14:paraId="2E53EA4B" w14:textId="77777777" w:rsidR="005760CB" w:rsidRPr="00D45710" w:rsidRDefault="005760CB" w:rsidP="000117D4">
                  <w:pPr>
                    <w:pStyle w:val="Default"/>
                    <w:rPr>
                      <w:b/>
                      <w:bCs/>
                      <w:sz w:val="22"/>
                      <w:szCs w:val="22"/>
                    </w:rPr>
                  </w:pPr>
                  <w:r w:rsidRPr="00D45710">
                    <w:rPr>
                      <w:b/>
                      <w:bCs/>
                      <w:sz w:val="22"/>
                      <w:szCs w:val="22"/>
                    </w:rPr>
                    <w:t>7/47 (14.9%)</w:t>
                  </w:r>
                </w:p>
              </w:tc>
            </w:tr>
            <w:tr w:rsidR="005760CB" w:rsidRPr="00D45710" w14:paraId="419014CB" w14:textId="77777777" w:rsidTr="006952EB">
              <w:trPr>
                <w:trHeight w:val="376"/>
              </w:trPr>
              <w:tc>
                <w:tcPr>
                  <w:tcW w:w="7090" w:type="dxa"/>
                </w:tcPr>
                <w:p w14:paraId="6CF99407" w14:textId="77777777" w:rsidR="005760CB" w:rsidRPr="00D45710" w:rsidRDefault="005760CB" w:rsidP="000117D4">
                  <w:pPr>
                    <w:pStyle w:val="Default"/>
                    <w:rPr>
                      <w:sz w:val="22"/>
                      <w:szCs w:val="22"/>
                    </w:rPr>
                  </w:pPr>
                  <w:r>
                    <w:rPr>
                      <w:sz w:val="22"/>
                      <w:szCs w:val="22"/>
                    </w:rPr>
                    <w:t xml:space="preserve">          </w:t>
                  </w:r>
                  <w:r w:rsidRPr="00D45710">
                    <w:rPr>
                      <w:sz w:val="22"/>
                      <w:szCs w:val="22"/>
                    </w:rPr>
                    <w:t>Meeting discharge criteria</w:t>
                  </w:r>
                </w:p>
              </w:tc>
              <w:tc>
                <w:tcPr>
                  <w:tcW w:w="2286" w:type="dxa"/>
                </w:tcPr>
                <w:p w14:paraId="3DB0C55B" w14:textId="77777777" w:rsidR="005760CB" w:rsidRPr="00D45710" w:rsidRDefault="005760CB" w:rsidP="000117D4">
                  <w:pPr>
                    <w:pStyle w:val="Default"/>
                    <w:rPr>
                      <w:sz w:val="22"/>
                      <w:szCs w:val="22"/>
                    </w:rPr>
                  </w:pPr>
                  <w:r w:rsidRPr="00D45710">
                    <w:rPr>
                      <w:sz w:val="22"/>
                      <w:szCs w:val="22"/>
                    </w:rPr>
                    <w:t>5</w:t>
                  </w:r>
                </w:p>
              </w:tc>
            </w:tr>
            <w:tr w:rsidR="005760CB" w:rsidRPr="00D45710" w14:paraId="14D803C0" w14:textId="77777777" w:rsidTr="006952EB">
              <w:trPr>
                <w:trHeight w:val="347"/>
              </w:trPr>
              <w:tc>
                <w:tcPr>
                  <w:tcW w:w="7090" w:type="dxa"/>
                </w:tcPr>
                <w:p w14:paraId="4F7A7654" w14:textId="77777777" w:rsidR="005760CB" w:rsidRPr="00D45710" w:rsidRDefault="005760CB" w:rsidP="000117D4">
                  <w:pPr>
                    <w:pStyle w:val="Default"/>
                    <w:rPr>
                      <w:sz w:val="22"/>
                      <w:szCs w:val="22"/>
                    </w:rPr>
                  </w:pPr>
                  <w:r>
                    <w:rPr>
                      <w:sz w:val="22"/>
                      <w:szCs w:val="22"/>
                    </w:rPr>
                    <w:t xml:space="preserve">          </w:t>
                  </w:r>
                  <w:r w:rsidRPr="00D45710">
                    <w:rPr>
                      <w:sz w:val="22"/>
                      <w:szCs w:val="22"/>
                    </w:rPr>
                    <w:t xml:space="preserve">De-diagnosed with OSA </w:t>
                  </w:r>
                </w:p>
              </w:tc>
              <w:tc>
                <w:tcPr>
                  <w:tcW w:w="2286" w:type="dxa"/>
                </w:tcPr>
                <w:p w14:paraId="281A5267" w14:textId="77777777" w:rsidR="005760CB" w:rsidRPr="00D45710" w:rsidRDefault="005760CB" w:rsidP="000117D4">
                  <w:pPr>
                    <w:pStyle w:val="Default"/>
                    <w:rPr>
                      <w:sz w:val="22"/>
                      <w:szCs w:val="22"/>
                    </w:rPr>
                  </w:pPr>
                  <w:r w:rsidRPr="00D45710">
                    <w:rPr>
                      <w:sz w:val="22"/>
                      <w:szCs w:val="22"/>
                    </w:rPr>
                    <w:t>2</w:t>
                  </w:r>
                </w:p>
              </w:tc>
            </w:tr>
          </w:tbl>
          <w:p w14:paraId="1A968634" w14:textId="135BB325" w:rsidR="006952EB" w:rsidRDefault="005760CB" w:rsidP="006952EB">
            <w:pPr>
              <w:pStyle w:val="Default"/>
              <w:rPr>
                <w:sz w:val="22"/>
                <w:szCs w:val="22"/>
              </w:rPr>
            </w:pPr>
            <w:r w:rsidRPr="00D45710">
              <w:rPr>
                <w:sz w:val="22"/>
                <w:szCs w:val="22"/>
              </w:rPr>
              <w:t>Table 1</w:t>
            </w:r>
          </w:p>
          <w:p w14:paraId="5D91B95E" w14:textId="77777777" w:rsidR="00C73F38" w:rsidRDefault="00C73F38" w:rsidP="000117D4">
            <w:pPr>
              <w:pStyle w:val="Default"/>
              <w:rPr>
                <w:rStyle w:val="A4"/>
                <w:b/>
                <w:bCs/>
              </w:rPr>
            </w:pPr>
          </w:p>
          <w:p w14:paraId="5A2251EA" w14:textId="7AC4738C" w:rsidR="005760CB" w:rsidRPr="003D1BD0" w:rsidRDefault="005760CB" w:rsidP="000117D4">
            <w:pPr>
              <w:pStyle w:val="Default"/>
              <w:rPr>
                <w:sz w:val="22"/>
                <w:szCs w:val="22"/>
              </w:rPr>
            </w:pPr>
            <w:r w:rsidRPr="00D45710">
              <w:rPr>
                <w:rStyle w:val="A4"/>
                <w:b/>
                <w:bCs/>
              </w:rPr>
              <w:t xml:space="preserve">Conclusion: </w:t>
            </w:r>
            <w:r>
              <w:rPr>
                <w:rStyle w:val="A4"/>
              </w:rPr>
              <w:t xml:space="preserve">Application of a discharge criteria has utility </w:t>
            </w:r>
            <w:r w:rsidR="00B63A5E">
              <w:rPr>
                <w:rStyle w:val="A4"/>
              </w:rPr>
              <w:t>as a screening tool</w:t>
            </w:r>
            <w:r>
              <w:rPr>
                <w:rStyle w:val="A4"/>
              </w:rPr>
              <w:t xml:space="preserve"> for </w:t>
            </w:r>
            <w:r w:rsidR="0029595D">
              <w:rPr>
                <w:rStyle w:val="A4"/>
              </w:rPr>
              <w:t xml:space="preserve">stable </w:t>
            </w:r>
            <w:r>
              <w:rPr>
                <w:rStyle w:val="A4"/>
              </w:rPr>
              <w:t>OSA patients on CPAP therapy who may be discharged safely to a nurse-led sleep clinic</w:t>
            </w:r>
            <w:r w:rsidR="00057177">
              <w:rPr>
                <w:rStyle w:val="A4"/>
              </w:rPr>
              <w:t>, but there are other factors that influence clinician decision to discharge.</w:t>
            </w:r>
          </w:p>
          <w:p w14:paraId="71AD7032" w14:textId="77777777" w:rsidR="005760CB" w:rsidRPr="00FD2F6D" w:rsidRDefault="005760CB" w:rsidP="000117D4">
            <w:pPr>
              <w:pStyle w:val="Pa12"/>
              <w:rPr>
                <w:rStyle w:val="A4"/>
                <w:color w:val="auto"/>
              </w:rPr>
            </w:pPr>
          </w:p>
          <w:p w14:paraId="25B6277A" w14:textId="77777777" w:rsidR="005760CB" w:rsidRPr="00D45710" w:rsidRDefault="005760CB" w:rsidP="000117D4">
            <w:pPr>
              <w:pStyle w:val="Pa12"/>
              <w:rPr>
                <w:sz w:val="22"/>
                <w:szCs w:val="22"/>
              </w:rPr>
            </w:pPr>
            <w:r w:rsidRPr="00D45710">
              <w:rPr>
                <w:b/>
                <w:bCs/>
                <w:sz w:val="22"/>
                <w:szCs w:val="22"/>
              </w:rPr>
              <w:t xml:space="preserve">Key Words: </w:t>
            </w:r>
            <w:r w:rsidRPr="00D45710">
              <w:rPr>
                <w:sz w:val="22"/>
                <w:szCs w:val="22"/>
              </w:rPr>
              <w:t>Obstructive sleep apnoea, OSA, CPAP</w:t>
            </w:r>
          </w:p>
          <w:p w14:paraId="581529CB" w14:textId="77777777" w:rsidR="005760CB" w:rsidRPr="00D45710" w:rsidRDefault="005760CB" w:rsidP="000117D4">
            <w:pPr>
              <w:pStyle w:val="Pa12"/>
              <w:rPr>
                <w:sz w:val="22"/>
                <w:szCs w:val="22"/>
              </w:rPr>
            </w:pPr>
            <w:r w:rsidRPr="00D45710">
              <w:rPr>
                <w:b/>
                <w:bCs/>
                <w:sz w:val="22"/>
                <w:szCs w:val="22"/>
              </w:rPr>
              <w:t xml:space="preserve">Grant Support: </w:t>
            </w:r>
            <w:r w:rsidRPr="00D45710">
              <w:rPr>
                <w:sz w:val="22"/>
                <w:szCs w:val="22"/>
              </w:rPr>
              <w:t>Nil to declare</w:t>
            </w:r>
          </w:p>
          <w:p w14:paraId="68A3987E" w14:textId="18F17512" w:rsidR="005760CB" w:rsidRPr="0050053A" w:rsidRDefault="005760CB" w:rsidP="7C814C78">
            <w:pPr>
              <w:pStyle w:val="Pa12"/>
              <w:rPr>
                <w:sz w:val="22"/>
                <w:szCs w:val="22"/>
                <w:lang w:val="en-US" w:eastAsia="en-GB"/>
              </w:rPr>
            </w:pPr>
            <w:r w:rsidRPr="00D45710">
              <w:rPr>
                <w:b/>
                <w:bCs/>
                <w:sz w:val="22"/>
                <w:szCs w:val="22"/>
              </w:rPr>
              <w:t>Declaration of Interest Statement</w:t>
            </w:r>
            <w:r w:rsidRPr="00D45710">
              <w:rPr>
                <w:sz w:val="22"/>
                <w:szCs w:val="22"/>
              </w:rPr>
              <w:t xml:space="preserve">: </w:t>
            </w:r>
            <w:r>
              <w:rPr>
                <w:sz w:val="22"/>
                <w:szCs w:val="22"/>
              </w:rPr>
              <w:t xml:space="preserve">HL has received </w:t>
            </w:r>
            <w:r w:rsidR="7028A22F" w:rsidRPr="2F4FA96E">
              <w:rPr>
                <w:sz w:val="22"/>
                <w:szCs w:val="22"/>
              </w:rPr>
              <w:t xml:space="preserve">support from </w:t>
            </w:r>
            <w:r w:rsidR="7028A22F" w:rsidRPr="5BB88DBA">
              <w:rPr>
                <w:sz w:val="22"/>
                <w:szCs w:val="22"/>
              </w:rPr>
              <w:t>SomnoMed</w:t>
            </w:r>
            <w:r w:rsidR="7028A22F" w:rsidRPr="0022DF39">
              <w:rPr>
                <w:sz w:val="22"/>
                <w:szCs w:val="22"/>
              </w:rPr>
              <w:t xml:space="preserve"> and </w:t>
            </w:r>
            <w:r w:rsidR="00570C92" w:rsidRPr="0022DF39">
              <w:rPr>
                <w:sz w:val="22"/>
                <w:szCs w:val="22"/>
              </w:rPr>
              <w:t>honoraria</w:t>
            </w:r>
            <w:r w:rsidR="00570C92">
              <w:rPr>
                <w:sz w:val="22"/>
                <w:szCs w:val="22"/>
              </w:rPr>
              <w:t xml:space="preserve"> from</w:t>
            </w:r>
            <w:r>
              <w:rPr>
                <w:sz w:val="22"/>
                <w:szCs w:val="22"/>
              </w:rPr>
              <w:t xml:space="preserve"> Sanofi.</w:t>
            </w:r>
          </w:p>
        </w:tc>
      </w:tr>
    </w:tbl>
    <w:p w14:paraId="7C36A9DC" w14:textId="32A70617" w:rsidR="00E0700F" w:rsidRPr="002F7C13" w:rsidRDefault="00E0700F" w:rsidP="002F7C13"/>
    <w:sectPr w:rsidR="00E0700F" w:rsidRPr="002F7C13" w:rsidSect="00676970">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545B5"/>
    <w:multiLevelType w:val="hybridMultilevel"/>
    <w:tmpl w:val="EBD4BE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55AD26E4"/>
    <w:multiLevelType w:val="hybridMultilevel"/>
    <w:tmpl w:val="71483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6AE697E"/>
    <w:multiLevelType w:val="hybridMultilevel"/>
    <w:tmpl w:val="C310E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235525">
    <w:abstractNumId w:val="2"/>
  </w:num>
  <w:num w:numId="2" w16cid:durableId="1019770078">
    <w:abstractNumId w:val="0"/>
  </w:num>
  <w:num w:numId="3" w16cid:durableId="63183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1802"/>
    <w:rsid w:val="00033ED9"/>
    <w:rsid w:val="0004323B"/>
    <w:rsid w:val="00057177"/>
    <w:rsid w:val="00061DE1"/>
    <w:rsid w:val="00082094"/>
    <w:rsid w:val="00093694"/>
    <w:rsid w:val="000C2AC4"/>
    <w:rsid w:val="000E66C4"/>
    <w:rsid w:val="001011ED"/>
    <w:rsid w:val="001126ED"/>
    <w:rsid w:val="00134AEB"/>
    <w:rsid w:val="00136273"/>
    <w:rsid w:val="00140410"/>
    <w:rsid w:val="00155DE6"/>
    <w:rsid w:val="001564A4"/>
    <w:rsid w:val="001A1582"/>
    <w:rsid w:val="001A4FE3"/>
    <w:rsid w:val="001D672E"/>
    <w:rsid w:val="001E77B8"/>
    <w:rsid w:val="002245CC"/>
    <w:rsid w:val="0022DF39"/>
    <w:rsid w:val="00250E81"/>
    <w:rsid w:val="002671AC"/>
    <w:rsid w:val="002822F1"/>
    <w:rsid w:val="0029595D"/>
    <w:rsid w:val="002A7D76"/>
    <w:rsid w:val="002C0BA3"/>
    <w:rsid w:val="002F7C13"/>
    <w:rsid w:val="0030365A"/>
    <w:rsid w:val="00371904"/>
    <w:rsid w:val="00383C17"/>
    <w:rsid w:val="003B042D"/>
    <w:rsid w:val="003B1B0F"/>
    <w:rsid w:val="003D1BD0"/>
    <w:rsid w:val="00460E76"/>
    <w:rsid w:val="0049485A"/>
    <w:rsid w:val="004D2D56"/>
    <w:rsid w:val="004F6F6D"/>
    <w:rsid w:val="005003E0"/>
    <w:rsid w:val="0051574E"/>
    <w:rsid w:val="005251F0"/>
    <w:rsid w:val="00570C92"/>
    <w:rsid w:val="005760CB"/>
    <w:rsid w:val="00662AF5"/>
    <w:rsid w:val="00676970"/>
    <w:rsid w:val="006811D6"/>
    <w:rsid w:val="006952EB"/>
    <w:rsid w:val="0070573B"/>
    <w:rsid w:val="00715617"/>
    <w:rsid w:val="00740807"/>
    <w:rsid w:val="00765120"/>
    <w:rsid w:val="00777160"/>
    <w:rsid w:val="00777287"/>
    <w:rsid w:val="00787B45"/>
    <w:rsid w:val="008002AB"/>
    <w:rsid w:val="00826390"/>
    <w:rsid w:val="00850BCB"/>
    <w:rsid w:val="008803FA"/>
    <w:rsid w:val="00880AC6"/>
    <w:rsid w:val="00893FFF"/>
    <w:rsid w:val="008D3F72"/>
    <w:rsid w:val="008E1807"/>
    <w:rsid w:val="008F27F6"/>
    <w:rsid w:val="00916C90"/>
    <w:rsid w:val="00923B65"/>
    <w:rsid w:val="00947450"/>
    <w:rsid w:val="00995629"/>
    <w:rsid w:val="009A0F10"/>
    <w:rsid w:val="009B0963"/>
    <w:rsid w:val="009E2009"/>
    <w:rsid w:val="00A0064D"/>
    <w:rsid w:val="00A01B09"/>
    <w:rsid w:val="00A103AF"/>
    <w:rsid w:val="00A739B5"/>
    <w:rsid w:val="00A80917"/>
    <w:rsid w:val="00AB0AAE"/>
    <w:rsid w:val="00AB0BEA"/>
    <w:rsid w:val="00AD12ED"/>
    <w:rsid w:val="00AD71D6"/>
    <w:rsid w:val="00B12E32"/>
    <w:rsid w:val="00B3380C"/>
    <w:rsid w:val="00B63A5E"/>
    <w:rsid w:val="00B705C2"/>
    <w:rsid w:val="00BB6F52"/>
    <w:rsid w:val="00BE3DE5"/>
    <w:rsid w:val="00BE4F3F"/>
    <w:rsid w:val="00BE6332"/>
    <w:rsid w:val="00C53EF5"/>
    <w:rsid w:val="00C62C09"/>
    <w:rsid w:val="00C70823"/>
    <w:rsid w:val="00C73F38"/>
    <w:rsid w:val="00C83E58"/>
    <w:rsid w:val="00CA73F8"/>
    <w:rsid w:val="00CB3660"/>
    <w:rsid w:val="00CC70BE"/>
    <w:rsid w:val="00CD358D"/>
    <w:rsid w:val="00D04B3D"/>
    <w:rsid w:val="00D11836"/>
    <w:rsid w:val="00D42633"/>
    <w:rsid w:val="00D45710"/>
    <w:rsid w:val="00D84DB7"/>
    <w:rsid w:val="00D86DB4"/>
    <w:rsid w:val="00DA2798"/>
    <w:rsid w:val="00DC286B"/>
    <w:rsid w:val="00DC6981"/>
    <w:rsid w:val="00DD2D61"/>
    <w:rsid w:val="00DE3D47"/>
    <w:rsid w:val="00E0179E"/>
    <w:rsid w:val="00E0700F"/>
    <w:rsid w:val="00E34BAC"/>
    <w:rsid w:val="00E53938"/>
    <w:rsid w:val="00E66775"/>
    <w:rsid w:val="00E76570"/>
    <w:rsid w:val="00E92B5B"/>
    <w:rsid w:val="00EE20CD"/>
    <w:rsid w:val="00F64459"/>
    <w:rsid w:val="00FA1894"/>
    <w:rsid w:val="00FD1EF8"/>
    <w:rsid w:val="2F4FA96E"/>
    <w:rsid w:val="33BC21C5"/>
    <w:rsid w:val="51A73EE7"/>
    <w:rsid w:val="52E6B664"/>
    <w:rsid w:val="5BB88DBA"/>
    <w:rsid w:val="7028A22F"/>
    <w:rsid w:val="7B0E109D"/>
    <w:rsid w:val="7C814C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table" w:styleId="TableGrid">
    <w:name w:val="Table Grid"/>
    <w:basedOn w:val="TableNormal"/>
    <w:uiPriority w:val="39"/>
    <w:rsid w:val="00C5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Kaustuv Joshi</cp:lastModifiedBy>
  <cp:revision>17</cp:revision>
  <cp:lastPrinted>2023-10-18T13:37:00Z</cp:lastPrinted>
  <dcterms:created xsi:type="dcterms:W3CDTF">2023-10-18T13:37:00Z</dcterms:created>
  <dcterms:modified xsi:type="dcterms:W3CDTF">2023-10-19T01:44:00Z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