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69"/>
        <w:tblW w:w="8640" w:type="dxa"/>
        <w:tblLayout w:type="fixed"/>
        <w:tblLook w:val="01E0" w:firstRow="1" w:lastRow="1" w:firstColumn="1" w:lastColumn="1" w:noHBand="0" w:noVBand="0"/>
      </w:tblPr>
      <w:tblGrid>
        <w:gridCol w:w="8640"/>
      </w:tblGrid>
      <w:tr w:rsidR="006D1B1A" w:rsidRPr="0003525D" w14:paraId="32D37B5D" w14:textId="77777777" w:rsidTr="006D1B1A">
        <w:tc>
          <w:tcPr>
            <w:tcW w:w="8640" w:type="dxa"/>
            <w:shd w:val="clear" w:color="auto" w:fill="F2F2F2" w:themeFill="background1" w:themeFillShade="F2"/>
          </w:tcPr>
          <w:p w14:paraId="2823ACCF" w14:textId="427B42D4" w:rsidR="006D1B1A" w:rsidRPr="007A473E" w:rsidRDefault="007A473E" w:rsidP="006D1B1A">
            <w:pPr>
              <w:jc w:val="both"/>
              <w:rPr>
                <w:rFonts w:ascii="Arial" w:hAnsi="Arial" w:cs="Arial"/>
                <w:bCs/>
                <w:i/>
                <w:iCs/>
                <w:sz w:val="22"/>
                <w:szCs w:val="22"/>
              </w:rPr>
            </w:pPr>
            <w:r w:rsidRPr="007A473E">
              <w:rPr>
                <w:rFonts w:ascii="Arial" w:hAnsi="Arial" w:cs="Arial"/>
                <w:bCs/>
                <w:i/>
                <w:iCs/>
                <w:sz w:val="22"/>
                <w:szCs w:val="22"/>
              </w:rPr>
              <w:t>Paper</w:t>
            </w:r>
          </w:p>
          <w:p w14:paraId="7BA93A71" w14:textId="77777777" w:rsidR="006D1B1A" w:rsidRPr="007A473E" w:rsidRDefault="006D1B1A" w:rsidP="006D1B1A">
            <w:pPr>
              <w:jc w:val="both"/>
              <w:rPr>
                <w:rFonts w:ascii="Arial" w:hAnsi="Arial" w:cs="Arial"/>
                <w:b/>
                <w:bCs/>
                <w:sz w:val="22"/>
                <w:szCs w:val="22"/>
              </w:rPr>
            </w:pPr>
            <w:r w:rsidRPr="007A473E">
              <w:rPr>
                <w:rFonts w:ascii="Arial" w:hAnsi="Arial" w:cs="Arial"/>
                <w:b/>
                <w:bCs/>
                <w:sz w:val="22"/>
                <w:szCs w:val="22"/>
              </w:rPr>
              <w:t>Acknowledging community agency in navigating external climate adaptation agendas</w:t>
            </w:r>
          </w:p>
          <w:p w14:paraId="2633F890" w14:textId="77777777" w:rsidR="006D1B1A" w:rsidRPr="009C75AE" w:rsidRDefault="006D1B1A" w:rsidP="006D1B1A">
            <w:pPr>
              <w:tabs>
                <w:tab w:val="left" w:pos="3386"/>
              </w:tabs>
              <w:jc w:val="both"/>
              <w:rPr>
                <w:rFonts w:ascii="Arial" w:hAnsi="Arial" w:cs="Arial"/>
                <w:b/>
                <w:bCs/>
                <w:sz w:val="22"/>
                <w:szCs w:val="22"/>
              </w:rPr>
            </w:pPr>
          </w:p>
        </w:tc>
      </w:tr>
      <w:tr w:rsidR="006D1B1A" w:rsidRPr="0003525D" w14:paraId="4EFE0AE6" w14:textId="77777777" w:rsidTr="006D1B1A">
        <w:trPr>
          <w:trHeight w:val="2420"/>
        </w:trPr>
        <w:tc>
          <w:tcPr>
            <w:tcW w:w="8640" w:type="dxa"/>
          </w:tcPr>
          <w:p w14:paraId="3A711C3D" w14:textId="77777777" w:rsidR="006D1B1A" w:rsidRDefault="006D1B1A" w:rsidP="006D1B1A">
            <w:pPr>
              <w:jc w:val="both"/>
              <w:rPr>
                <w:rFonts w:ascii="Arial" w:hAnsi="Arial" w:cs="Arial"/>
                <w:b/>
                <w:sz w:val="22"/>
                <w:szCs w:val="22"/>
              </w:rPr>
            </w:pPr>
          </w:p>
          <w:p w14:paraId="2055353E" w14:textId="77777777" w:rsidR="006D1B1A" w:rsidRDefault="006D1B1A" w:rsidP="006D1B1A">
            <w:pPr>
              <w:jc w:val="both"/>
              <w:rPr>
                <w:rFonts w:ascii="Arial" w:hAnsi="Arial" w:cs="Arial"/>
                <w:b/>
                <w:sz w:val="22"/>
                <w:szCs w:val="22"/>
              </w:rPr>
            </w:pPr>
            <w:r w:rsidRPr="0065012F">
              <w:rPr>
                <w:rFonts w:ascii="Arial" w:hAnsi="Arial" w:cs="Arial"/>
                <w:b/>
                <w:sz w:val="22"/>
                <w:szCs w:val="22"/>
              </w:rPr>
              <w:t>Introduction</w:t>
            </w:r>
          </w:p>
          <w:p w14:paraId="14819890" w14:textId="77777777" w:rsidR="006D1B1A" w:rsidRDefault="006D1B1A" w:rsidP="006D1B1A">
            <w:pPr>
              <w:jc w:val="both"/>
              <w:rPr>
                <w:rFonts w:ascii="Arial" w:hAnsi="Arial" w:cs="Arial"/>
                <w:bCs/>
                <w:sz w:val="22"/>
                <w:szCs w:val="22"/>
              </w:rPr>
            </w:pPr>
          </w:p>
          <w:p w14:paraId="7FE84045" w14:textId="18BFE359" w:rsidR="006D1B1A" w:rsidRPr="008D1332" w:rsidRDefault="006D1B1A" w:rsidP="006D1B1A">
            <w:pPr>
              <w:jc w:val="both"/>
              <w:rPr>
                <w:rFonts w:ascii="Arial" w:hAnsi="Arial" w:cs="Arial"/>
                <w:bCs/>
                <w:sz w:val="22"/>
                <w:szCs w:val="22"/>
              </w:rPr>
            </w:pPr>
            <w:r w:rsidRPr="008D1332">
              <w:rPr>
                <w:rFonts w:ascii="Arial" w:hAnsi="Arial" w:cs="Arial"/>
                <w:bCs/>
                <w:sz w:val="22"/>
                <w:szCs w:val="22"/>
              </w:rPr>
              <w:t>A growing body of literature has shown that externally introduced adaptation options are not always welcome, with community members sometimes resisting “seemingly effective” interventions. We understand externally introduced (adaptation) interventions as those originating from outside, such as state-directed and NGO-led initiatives, in contrast to autonomous adaptation. The conventional perspective is that there are two main ways community members engage with externally introduced adaptation interventions: (</w:t>
            </w:r>
            <w:proofErr w:type="spellStart"/>
            <w:r w:rsidRPr="008D1332">
              <w:rPr>
                <w:rFonts w:ascii="Arial" w:hAnsi="Arial" w:cs="Arial"/>
                <w:bCs/>
                <w:sz w:val="22"/>
                <w:szCs w:val="22"/>
              </w:rPr>
              <w:t>i</w:t>
            </w:r>
            <w:proofErr w:type="spellEnd"/>
            <w:r w:rsidRPr="008D1332">
              <w:rPr>
                <w:rFonts w:ascii="Arial" w:hAnsi="Arial" w:cs="Arial"/>
                <w:bCs/>
                <w:sz w:val="22"/>
                <w:szCs w:val="22"/>
              </w:rPr>
              <w:t xml:space="preserve">) they either accept and utilise the embedded practices, which is typically seen as a success or (ii) community members resist them, which is then perceived as a failure and attributed to local people’s inability to understand their beneficial potential. While this binary typology of acceptance versus resistance has dominated efforts to understand community engagement with externally driven adaptation interventions, it is somewhat restrictive. </w:t>
            </w:r>
          </w:p>
          <w:p w14:paraId="0BF6927A" w14:textId="77777777" w:rsidR="006D1B1A" w:rsidRDefault="006D1B1A" w:rsidP="006D1B1A">
            <w:pPr>
              <w:jc w:val="both"/>
              <w:rPr>
                <w:rFonts w:ascii="Arial" w:hAnsi="Arial" w:cs="Arial"/>
                <w:bCs/>
                <w:sz w:val="22"/>
                <w:szCs w:val="22"/>
              </w:rPr>
            </w:pPr>
          </w:p>
          <w:p w14:paraId="6C02A9EA" w14:textId="77777777" w:rsidR="006D1B1A" w:rsidRPr="008D1332" w:rsidRDefault="006D1B1A" w:rsidP="006D1B1A">
            <w:pPr>
              <w:jc w:val="both"/>
              <w:rPr>
                <w:rFonts w:ascii="Arial" w:hAnsi="Arial" w:cs="Arial"/>
                <w:b/>
                <w:sz w:val="22"/>
                <w:szCs w:val="22"/>
              </w:rPr>
            </w:pPr>
            <w:r w:rsidRPr="008D1332">
              <w:rPr>
                <w:rFonts w:ascii="Arial" w:hAnsi="Arial" w:cs="Arial"/>
                <w:b/>
                <w:sz w:val="22"/>
                <w:szCs w:val="22"/>
              </w:rPr>
              <w:t>Objectives</w:t>
            </w:r>
          </w:p>
          <w:p w14:paraId="3D3D74DD" w14:textId="77777777" w:rsidR="006D1B1A" w:rsidRDefault="006D1B1A" w:rsidP="006D1B1A">
            <w:pPr>
              <w:jc w:val="both"/>
              <w:rPr>
                <w:rFonts w:ascii="Arial" w:hAnsi="Arial" w:cs="Arial"/>
                <w:b/>
                <w:sz w:val="22"/>
                <w:szCs w:val="22"/>
              </w:rPr>
            </w:pPr>
          </w:p>
          <w:p w14:paraId="79B909B0" w14:textId="77777777" w:rsidR="006D1B1A" w:rsidRPr="008D1332" w:rsidRDefault="006D1B1A" w:rsidP="006D1B1A">
            <w:pPr>
              <w:jc w:val="both"/>
              <w:rPr>
                <w:rFonts w:ascii="Arial" w:hAnsi="Arial" w:cs="Arial"/>
                <w:bCs/>
                <w:sz w:val="22"/>
                <w:szCs w:val="22"/>
              </w:rPr>
            </w:pPr>
            <w:r w:rsidRPr="008D1332">
              <w:rPr>
                <w:rFonts w:ascii="Arial" w:hAnsi="Arial" w:cs="Arial"/>
                <w:bCs/>
                <w:sz w:val="22"/>
                <w:szCs w:val="22"/>
              </w:rPr>
              <w:t>The study expands the resistance thinking discussed by other climate adaptation scholars (e.g., Brink et al., 2023 and Vargas Falla et al., 2024) by recognising communities' capacity to deploy resources, accumulated knowledge, and practices to reshape introduced adaptation measures to accommodate their own needs and goals. We argue that the framing of resistance to climate adaptation can be better understood through the lens of a bricolage framework, thereby transcending the conventional dichotomy of acceptance and resistance. This conceptual framework enables us to elucidate how local actors creatively assemble and reshape external adaptation measures by drawing on available material, experiential, and sociocultural assets.</w:t>
            </w:r>
          </w:p>
          <w:p w14:paraId="4AB5A91C" w14:textId="77777777" w:rsidR="006D1B1A" w:rsidRDefault="006D1B1A" w:rsidP="006D1B1A">
            <w:pPr>
              <w:jc w:val="both"/>
              <w:rPr>
                <w:rFonts w:ascii="Arial" w:hAnsi="Arial" w:cs="Arial"/>
                <w:b/>
                <w:sz w:val="22"/>
                <w:szCs w:val="22"/>
              </w:rPr>
            </w:pPr>
          </w:p>
          <w:p w14:paraId="362580E6" w14:textId="77777777" w:rsidR="006D1B1A" w:rsidRDefault="006D1B1A" w:rsidP="006D1B1A">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57CEB658" w14:textId="77777777" w:rsidR="006D1B1A" w:rsidRDefault="006D1B1A" w:rsidP="006D1B1A">
            <w:pPr>
              <w:jc w:val="both"/>
              <w:rPr>
                <w:rFonts w:ascii="Arial" w:hAnsi="Arial" w:cs="Arial"/>
                <w:b/>
                <w:sz w:val="22"/>
                <w:szCs w:val="22"/>
              </w:rPr>
            </w:pPr>
          </w:p>
          <w:p w14:paraId="3036300D" w14:textId="77777777" w:rsidR="006D1B1A" w:rsidRPr="008D1332" w:rsidRDefault="006D1B1A" w:rsidP="006D1B1A">
            <w:pPr>
              <w:jc w:val="both"/>
              <w:rPr>
                <w:rFonts w:ascii="Arial" w:hAnsi="Arial" w:cs="Arial"/>
                <w:bCs/>
                <w:sz w:val="22"/>
                <w:szCs w:val="22"/>
              </w:rPr>
            </w:pPr>
            <w:r>
              <w:rPr>
                <w:rFonts w:ascii="Arial" w:hAnsi="Arial" w:cs="Arial"/>
                <w:bCs/>
                <w:sz w:val="22"/>
                <w:szCs w:val="22"/>
              </w:rPr>
              <w:t xml:space="preserve">The study draws on </w:t>
            </w:r>
            <w:r w:rsidRPr="008D1332">
              <w:rPr>
                <w:rFonts w:ascii="Arial" w:hAnsi="Arial" w:cs="Arial"/>
                <w:bCs/>
                <w:sz w:val="22"/>
                <w:szCs w:val="22"/>
              </w:rPr>
              <w:t>four cases of "adaptation bricolage," which illustrate the alteration of bricolage in African food systems. D</w:t>
            </w:r>
            <w:r>
              <w:rPr>
                <w:rFonts w:ascii="Arial" w:hAnsi="Arial" w:cs="Arial"/>
                <w:bCs/>
                <w:sz w:val="22"/>
                <w:szCs w:val="22"/>
              </w:rPr>
              <w:t xml:space="preserve">erived </w:t>
            </w:r>
            <w:r w:rsidRPr="008D1332">
              <w:rPr>
                <w:rFonts w:ascii="Arial" w:hAnsi="Arial" w:cs="Arial"/>
                <w:bCs/>
                <w:sz w:val="22"/>
                <w:szCs w:val="22"/>
              </w:rPr>
              <w:t>from a systematic review of 37 publications, these cases exemplify the local community's creativity and capacity to adjust or modify planned interventions in various ways to suit their needs and goals.</w:t>
            </w:r>
          </w:p>
          <w:p w14:paraId="29DE33A6" w14:textId="77777777" w:rsidR="006D1B1A" w:rsidRDefault="006D1B1A" w:rsidP="006D1B1A">
            <w:pPr>
              <w:jc w:val="both"/>
              <w:rPr>
                <w:rFonts w:ascii="Arial" w:hAnsi="Arial" w:cs="Arial"/>
                <w:b/>
                <w:sz w:val="22"/>
                <w:szCs w:val="22"/>
              </w:rPr>
            </w:pPr>
          </w:p>
          <w:p w14:paraId="4C702160" w14:textId="77777777" w:rsidR="006D1B1A" w:rsidRDefault="006D1B1A" w:rsidP="006D1B1A">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04BD30F4" w14:textId="77777777" w:rsidR="006D1B1A" w:rsidRDefault="006D1B1A" w:rsidP="006D1B1A">
            <w:pPr>
              <w:jc w:val="both"/>
              <w:rPr>
                <w:rFonts w:ascii="Arial" w:hAnsi="Arial" w:cs="Arial"/>
                <w:b/>
                <w:sz w:val="22"/>
                <w:szCs w:val="22"/>
              </w:rPr>
            </w:pPr>
          </w:p>
          <w:p w14:paraId="690BA248" w14:textId="6ECA74B1" w:rsidR="006D1B1A" w:rsidRPr="00BF3E5D" w:rsidRDefault="006D1B1A" w:rsidP="006D1B1A">
            <w:pPr>
              <w:jc w:val="both"/>
              <w:rPr>
                <w:rFonts w:ascii="Arial" w:hAnsi="Arial" w:cs="Arial"/>
                <w:bCs/>
                <w:sz w:val="22"/>
                <w:szCs w:val="22"/>
              </w:rPr>
            </w:pPr>
            <w:r w:rsidRPr="00BF3E5D">
              <w:rPr>
                <w:rFonts w:ascii="Arial" w:hAnsi="Arial" w:cs="Arial"/>
                <w:bCs/>
                <w:sz w:val="22"/>
                <w:szCs w:val="22"/>
              </w:rPr>
              <w:t>The cases highlight the importance of integrating immediate and long-term goals. What is often labelled as a “failure” may still contribute to adaptive capacity by providing experience and resources that become relevant in different circumstances. Another important lesson from these cases is that adaptation outcomes do not result solely from external</w:t>
            </w:r>
            <w:r w:rsidR="00BC6119">
              <w:rPr>
                <w:rFonts w:ascii="Arial" w:hAnsi="Arial" w:cs="Arial"/>
                <w:bCs/>
                <w:sz w:val="22"/>
                <w:szCs w:val="22"/>
              </w:rPr>
              <w:t>ly-driven</w:t>
            </w:r>
            <w:r w:rsidRPr="00BF3E5D">
              <w:rPr>
                <w:rFonts w:ascii="Arial" w:hAnsi="Arial" w:cs="Arial"/>
                <w:bCs/>
                <w:sz w:val="22"/>
                <w:szCs w:val="22"/>
              </w:rPr>
              <w:t xml:space="preserve"> interventions. Instead, adaptation outcomes emerge as a continued interaction between external agendas and local agency. </w:t>
            </w:r>
          </w:p>
          <w:p w14:paraId="7E5D9359" w14:textId="77777777" w:rsidR="006D1B1A" w:rsidRDefault="006D1B1A" w:rsidP="006D1B1A">
            <w:pPr>
              <w:jc w:val="both"/>
              <w:rPr>
                <w:rFonts w:ascii="Arial" w:hAnsi="Arial" w:cs="Arial"/>
                <w:b/>
                <w:sz w:val="22"/>
                <w:szCs w:val="22"/>
              </w:rPr>
            </w:pPr>
          </w:p>
          <w:p w14:paraId="53E6A000" w14:textId="77777777" w:rsidR="006D1B1A" w:rsidRDefault="006D1B1A" w:rsidP="006D1B1A">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5195133D" w14:textId="77777777" w:rsidR="006D1B1A" w:rsidRDefault="006D1B1A" w:rsidP="006D1B1A">
            <w:pPr>
              <w:jc w:val="both"/>
              <w:rPr>
                <w:rFonts w:ascii="Arial" w:hAnsi="Arial" w:cs="Arial"/>
                <w:b/>
                <w:sz w:val="22"/>
                <w:szCs w:val="22"/>
              </w:rPr>
            </w:pPr>
          </w:p>
          <w:p w14:paraId="5F0FF2EF" w14:textId="77777777" w:rsidR="006D1B1A" w:rsidRPr="00BF3E5D" w:rsidRDefault="006D1B1A" w:rsidP="006D1B1A">
            <w:pPr>
              <w:jc w:val="both"/>
              <w:rPr>
                <w:rFonts w:ascii="Arial" w:hAnsi="Arial" w:cs="Arial"/>
                <w:bCs/>
                <w:sz w:val="22"/>
                <w:szCs w:val="22"/>
              </w:rPr>
            </w:pPr>
            <w:r w:rsidRPr="00BF3E5D">
              <w:rPr>
                <w:rFonts w:ascii="Arial" w:hAnsi="Arial" w:cs="Arial"/>
                <w:bCs/>
                <w:sz w:val="22"/>
                <w:szCs w:val="22"/>
              </w:rPr>
              <w:lastRenderedPageBreak/>
              <w:t>The bricolage framework offers perspectives for climate policy actors and practitioners to effectively co-design and collaborate with key stakeholders in adaptation interventions for greater impact. The research emphasises that evaluations of adaptation interventions need to recognise the collective knowledge and cumulative experiences embodied in community agency by giving more voice to people and considering them as valuable stakeholders, rather than just beneficiaries.</w:t>
            </w:r>
          </w:p>
          <w:p w14:paraId="124DD556" w14:textId="0922BE0B" w:rsidR="006D1B1A" w:rsidRPr="006D1B1A" w:rsidRDefault="006D1B1A" w:rsidP="006D1B1A">
            <w:pPr>
              <w:jc w:val="both"/>
              <w:rPr>
                <w:rFonts w:ascii="Arial" w:hAnsi="Arial" w:cs="Arial"/>
                <w:b/>
                <w:sz w:val="22"/>
                <w:szCs w:val="22"/>
              </w:rPr>
            </w:pPr>
          </w:p>
        </w:tc>
      </w:tr>
    </w:tbl>
    <w:p w14:paraId="67CD7A35" w14:textId="37E9BEE1" w:rsidR="009C374A" w:rsidRDefault="009C374A" w:rsidP="00375B20">
      <w:pPr>
        <w:rPr>
          <w:b/>
          <w:bCs/>
        </w:rPr>
      </w:pPr>
    </w:p>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70152632">
    <w:abstractNumId w:val="0"/>
  </w:num>
  <w:num w:numId="2" w16cid:durableId="1601525995">
    <w:abstractNumId w:val="2"/>
  </w:num>
  <w:num w:numId="3" w16cid:durableId="418798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22690"/>
    <w:rsid w:val="0053222C"/>
    <w:rsid w:val="005469BD"/>
    <w:rsid w:val="00550B17"/>
    <w:rsid w:val="005854B8"/>
    <w:rsid w:val="0065012F"/>
    <w:rsid w:val="0068043B"/>
    <w:rsid w:val="00681CA7"/>
    <w:rsid w:val="006D1B1A"/>
    <w:rsid w:val="007A473E"/>
    <w:rsid w:val="008235E8"/>
    <w:rsid w:val="008773DF"/>
    <w:rsid w:val="008B01BA"/>
    <w:rsid w:val="008B50A0"/>
    <w:rsid w:val="008C0C35"/>
    <w:rsid w:val="008C22AD"/>
    <w:rsid w:val="008C2633"/>
    <w:rsid w:val="008D1332"/>
    <w:rsid w:val="008E3D8D"/>
    <w:rsid w:val="008F2F93"/>
    <w:rsid w:val="009010B0"/>
    <w:rsid w:val="00906B39"/>
    <w:rsid w:val="00963443"/>
    <w:rsid w:val="009C374A"/>
    <w:rsid w:val="009F4EA0"/>
    <w:rsid w:val="00B026E8"/>
    <w:rsid w:val="00BA0872"/>
    <w:rsid w:val="00BA26BB"/>
    <w:rsid w:val="00BC6119"/>
    <w:rsid w:val="00BC6810"/>
    <w:rsid w:val="00BE0B4D"/>
    <w:rsid w:val="00BE58D6"/>
    <w:rsid w:val="00BF3E5D"/>
    <w:rsid w:val="00C26081"/>
    <w:rsid w:val="00C4126D"/>
    <w:rsid w:val="00C76C99"/>
    <w:rsid w:val="00C8423A"/>
    <w:rsid w:val="00CE53FE"/>
    <w:rsid w:val="00D14A03"/>
    <w:rsid w:val="00D716AD"/>
    <w:rsid w:val="00DB7929"/>
    <w:rsid w:val="00DD1BB3"/>
    <w:rsid w:val="00E1148D"/>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6911e96c-4cc4-42d5-8e43-f93924cf6a05"/>
    <ds:schemaRef ds:uri="http://schemas.openxmlformats.org/package/2006/metadata/core-properties"/>
    <ds:schemaRef ds:uri="cab52c9b-ab33-4221-8af9-54f8f2b86a80"/>
    <ds:schemaRef ds:uri="9c8a2b7b-0bee-4c48-b0a6-23db8982d3bc"/>
  </ds:schemaRefs>
</ds:datastoreItem>
</file>

<file path=customXml/itemProps3.xml><?xml version="1.0" encoding="utf-8"?>
<ds:datastoreItem xmlns:ds="http://schemas.openxmlformats.org/officeDocument/2006/customXml" ds:itemID="{A5243E6E-026D-4CA9-958C-03B90D81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476</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2024-09-16T20:56:00Z</dcterms:created>
  <dcterms:modified xsi:type="dcterms:W3CDTF">2025-08-14T00:48:00Z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