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4"/>
      </w:tblGrid>
      <w:tr w:rsidR="001564A4" w:rsidRPr="0050053A" w14:paraId="5C38377B" w14:textId="77777777" w:rsidTr="00D3624A">
        <w:trPr>
          <w:jc w:val="center"/>
        </w:trPr>
        <w:tc>
          <w:tcPr>
            <w:tcW w:w="10784" w:type="dxa"/>
            <w:shd w:val="clear" w:color="auto" w:fill="auto"/>
          </w:tcPr>
          <w:p w14:paraId="5C44F357" w14:textId="5851DE92" w:rsidR="001564A4" w:rsidRPr="004959AE" w:rsidRDefault="004959AE" w:rsidP="004959A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4959AE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The Registry for Better Understanding of ILD (RE-BUILD) smartphone application pilot study</w:t>
            </w:r>
          </w:p>
        </w:tc>
      </w:tr>
      <w:tr w:rsidR="001564A4" w:rsidRPr="0050053A" w14:paraId="0E2E035C" w14:textId="77777777" w:rsidTr="00D3624A">
        <w:trPr>
          <w:jc w:val="center"/>
        </w:trPr>
        <w:tc>
          <w:tcPr>
            <w:tcW w:w="10784" w:type="dxa"/>
            <w:shd w:val="clear" w:color="auto" w:fill="auto"/>
          </w:tcPr>
          <w:p w14:paraId="73B55295" w14:textId="4CF0BFBB" w:rsidR="001564A4" w:rsidRPr="00413B94" w:rsidRDefault="004959AE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bookmarkStart w:id="0" w:name="Text8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L.M. Glenn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1,2,3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D. Jackson</w:t>
            </w:r>
            <w:r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C. Barton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L. Fuhrmeister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K. Symons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L. Turnour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B. Tefay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A.E. Holland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3,7,8,9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N.S.L. Goh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4,8,10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L.K. Troy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1,2,3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M. Brooke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I.N. Glaspole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3,5,12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T.J. Corte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1,2,3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on behalf of the AILDR Steering Committee</w:t>
            </w:r>
          </w:p>
        </w:tc>
      </w:tr>
      <w:tr w:rsidR="001564A4" w:rsidRPr="0050053A" w14:paraId="385A19D9" w14:textId="77777777" w:rsidTr="00D3624A">
        <w:trPr>
          <w:trHeight w:val="136"/>
          <w:jc w:val="center"/>
        </w:trPr>
        <w:tc>
          <w:tcPr>
            <w:tcW w:w="10784" w:type="dxa"/>
            <w:shd w:val="clear" w:color="auto" w:fill="auto"/>
          </w:tcPr>
          <w:p w14:paraId="73E8D57C" w14:textId="77777777" w:rsidR="00A32B1A" w:rsidRPr="0050053A" w:rsidRDefault="00A32B1A" w:rsidP="00A32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Royal Prince Alfred Hospital, Sydney, NSW, Australia</w:t>
            </w:r>
          </w:p>
          <w:p w14:paraId="4652E098" w14:textId="77777777" w:rsidR="00A32B1A" w:rsidRDefault="00A32B1A" w:rsidP="00A32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The University of Sydney School of Medicine (Central Clinical School), Sydney, NSW, Australia</w:t>
            </w:r>
          </w:p>
          <w:p w14:paraId="747F0C72" w14:textId="3F98698C" w:rsidR="00A32B1A" w:rsidRDefault="00A32B1A" w:rsidP="00A32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NHMRC Centre of Research Excellence in Pulmonary Fibrosis, Australia</w:t>
            </w:r>
          </w:p>
          <w:p w14:paraId="5515FD5E" w14:textId="3BE2D2CA" w:rsidR="009E41E9" w:rsidRDefault="009E41E9" w:rsidP="00A32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Austin Health, Heidelberg, Victoria, Australia</w:t>
            </w:r>
          </w:p>
          <w:p w14:paraId="62E9B6B3" w14:textId="5DEF0B63" w:rsidR="009E41E9" w:rsidRPr="009E41E9" w:rsidRDefault="009E41E9" w:rsidP="00A32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Alfred Health, Melbourne, Victoria, Australia</w:t>
            </w:r>
          </w:p>
          <w:p w14:paraId="2BB4E36A" w14:textId="3759814D" w:rsidR="009E41E9" w:rsidRDefault="009E41E9" w:rsidP="00A32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A32B1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Stacktrace Pty Ltd., Brisbane, Queensland, Australia</w:t>
            </w:r>
          </w:p>
          <w:p w14:paraId="71685AE7" w14:textId="45BEA325" w:rsidR="009E41E9" w:rsidRDefault="009E41E9" w:rsidP="00A32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 w:rsidR="00A32B1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Physiotherapy, Alfred Health, Melbourne, Victoria, Australia</w:t>
            </w:r>
          </w:p>
          <w:p w14:paraId="43124ED0" w14:textId="77777777" w:rsidR="009E41E9" w:rsidRDefault="009E41E9" w:rsidP="00A32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</w:t>
            </w:r>
            <w:r w:rsidR="00A32B1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Institute for Breathing and Sleep, Melbourne, Victoria, Australi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</w:t>
            </w:r>
          </w:p>
          <w:p w14:paraId="0FC38754" w14:textId="77777777" w:rsidR="00863443" w:rsidRDefault="009E41E9" w:rsidP="00A32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9</w:t>
            </w:r>
            <w:r w:rsidR="00A32B1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Allergy, Clinical Immunology and Respiratory Medicine, Monash University, Victoria, Australia</w:t>
            </w:r>
          </w:p>
          <w:p w14:paraId="0EC6D8FB" w14:textId="580D9D74" w:rsidR="008357C5" w:rsidRPr="00BE4C47" w:rsidRDefault="00863443" w:rsidP="00A32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10</w:t>
            </w:r>
            <w:r w:rsidR="00A32B1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Faculty of Medicine, University of Melbourne, Melbourne, Victoria, Australia</w:t>
            </w:r>
          </w:p>
          <w:p w14:paraId="35AA565D" w14:textId="4891146D" w:rsidR="00B63779" w:rsidRDefault="00A32B1A" w:rsidP="00A32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863443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Lung Foundation Australia</w:t>
            </w:r>
          </w:p>
          <w:p w14:paraId="45ED36BF" w14:textId="4DCE254C" w:rsidR="00863443" w:rsidRPr="00863443" w:rsidRDefault="00B63779" w:rsidP="00A32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863443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A32B1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Central Clinical School, Monash University, Melbourne, Victoria, Australia</w:t>
            </w:r>
          </w:p>
        </w:tc>
      </w:tr>
      <w:tr w:rsidR="001564A4" w:rsidRPr="0050053A" w14:paraId="6DAF615A" w14:textId="77777777" w:rsidTr="00D3624A">
        <w:trPr>
          <w:trHeight w:hRule="exact" w:val="8128"/>
          <w:jc w:val="center"/>
        </w:trPr>
        <w:tc>
          <w:tcPr>
            <w:tcW w:w="10784" w:type="dxa"/>
            <w:shd w:val="clear" w:color="auto" w:fill="auto"/>
          </w:tcPr>
          <w:p w14:paraId="35392082" w14:textId="77777777" w:rsidR="005E75B9" w:rsidRPr="005E75B9" w:rsidRDefault="005E75B9" w:rsidP="004959AE">
            <w:pPr>
              <w:pStyle w:val="Default"/>
              <w:rPr>
                <w:rStyle w:val="A4"/>
                <w:b/>
                <w:bCs/>
                <w:sz w:val="2"/>
                <w:szCs w:val="2"/>
                <w:lang w:val="en-AU"/>
              </w:rPr>
            </w:pPr>
          </w:p>
          <w:p w14:paraId="1AFB9258" w14:textId="77777777" w:rsidR="005E75B9" w:rsidRPr="005E75B9" w:rsidRDefault="005E75B9" w:rsidP="004959AE">
            <w:pPr>
              <w:pStyle w:val="Default"/>
              <w:rPr>
                <w:rStyle w:val="A4"/>
                <w:b/>
                <w:bCs/>
                <w:sz w:val="10"/>
                <w:szCs w:val="10"/>
                <w:lang w:val="en-AU"/>
              </w:rPr>
            </w:pPr>
          </w:p>
          <w:p w14:paraId="5FD9E309" w14:textId="3404108C" w:rsidR="004959AE" w:rsidRDefault="001564A4" w:rsidP="004959AE">
            <w:pPr>
              <w:pStyle w:val="Default"/>
              <w:rPr>
                <w:sz w:val="22"/>
                <w:szCs w:val="22"/>
                <w:lang w:val="en-US"/>
              </w:rPr>
            </w:pPr>
            <w:r w:rsidRPr="00A342BC">
              <w:rPr>
                <w:rStyle w:val="A4"/>
                <w:b/>
                <w:bCs/>
                <w:lang w:val="en-AU"/>
              </w:rPr>
              <w:t xml:space="preserve">Introduction/Aim: </w:t>
            </w:r>
            <w:r w:rsidR="004959AE">
              <w:rPr>
                <w:sz w:val="22"/>
                <w:szCs w:val="22"/>
                <w:lang w:val="en-US"/>
              </w:rPr>
              <w:t xml:space="preserve">The Registry for Better Understanding of Interstitial Lung Disease (RE-BUILD) platform is the first smartphone application piloted across multiple sites in Australia for specific use by ILD patients. Its long-term aims include enhancement of opportunities for self-monitoring and remote assessment of patients, as well as incorporation of </w:t>
            </w:r>
            <w:r w:rsidR="004959AE" w:rsidRPr="00985BE6">
              <w:rPr>
                <w:sz w:val="22"/>
                <w:szCs w:val="22"/>
                <w:lang w:val="en-US"/>
              </w:rPr>
              <w:t xml:space="preserve">patient-reported outcome measures (PROMs) into interstitial lung disease (ILD) care and research. </w:t>
            </w:r>
          </w:p>
          <w:p w14:paraId="061CCE73" w14:textId="77777777" w:rsidR="006B6E4A" w:rsidRPr="00D3624A" w:rsidRDefault="006B6E4A" w:rsidP="00AA5290">
            <w:pPr>
              <w:pStyle w:val="Default"/>
              <w:rPr>
                <w:sz w:val="16"/>
                <w:szCs w:val="16"/>
                <w:lang w:val="en-AU"/>
              </w:rPr>
            </w:pPr>
          </w:p>
          <w:p w14:paraId="04F26E9C" w14:textId="77777777" w:rsidR="004959AE" w:rsidRPr="00985BE6" w:rsidRDefault="001564A4" w:rsidP="004959AE">
            <w:pPr>
              <w:pStyle w:val="Default"/>
              <w:rPr>
                <w:sz w:val="22"/>
                <w:szCs w:val="22"/>
                <w:lang w:val="en-AU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4959AE">
              <w:rPr>
                <w:sz w:val="22"/>
                <w:szCs w:val="22"/>
                <w:lang w:val="en-AU"/>
              </w:rPr>
              <w:t>This</w:t>
            </w:r>
            <w:r w:rsidR="004959AE" w:rsidRPr="00985BE6">
              <w:rPr>
                <w:sz w:val="22"/>
                <w:szCs w:val="22"/>
                <w:lang w:val="en-AU"/>
              </w:rPr>
              <w:t xml:space="preserve"> was a prospective, multicentre pilot study investigating usability of the RE-BUILD smartphone application</w:t>
            </w:r>
            <w:r w:rsidR="004959AE">
              <w:rPr>
                <w:sz w:val="22"/>
                <w:szCs w:val="22"/>
                <w:lang w:val="en-AU"/>
              </w:rPr>
              <w:t xml:space="preserve"> by p</w:t>
            </w:r>
            <w:r w:rsidR="004959AE" w:rsidRPr="00985BE6">
              <w:rPr>
                <w:sz w:val="22"/>
                <w:szCs w:val="22"/>
                <w:lang w:val="en-AU"/>
              </w:rPr>
              <w:t xml:space="preserve">atients with ILD aged </w:t>
            </w:r>
            <w:r w:rsidR="004959AE" w:rsidRPr="00985BE6">
              <w:rPr>
                <w:sz w:val="22"/>
                <w:szCs w:val="22"/>
                <w:lang w:val="en-GB"/>
              </w:rPr>
              <w:t>≥18 years old</w:t>
            </w:r>
            <w:r w:rsidR="004959AE">
              <w:rPr>
                <w:sz w:val="22"/>
                <w:szCs w:val="22"/>
                <w:lang w:val="en-GB"/>
              </w:rPr>
              <w:t>. Participants trialled using the app for six months. They were sent the mHealth App Usability Questionnaire (MAUQ) at 1,3 and 6 months. Telephone interviews were performed with 10 patients.</w:t>
            </w:r>
          </w:p>
          <w:p w14:paraId="5029BAE6" w14:textId="6389FB4F" w:rsidR="001564A4" w:rsidRPr="00D3624A" w:rsidRDefault="001564A4" w:rsidP="000A28E2">
            <w:pPr>
              <w:pStyle w:val="Pa12"/>
              <w:rPr>
                <w:rStyle w:val="A4"/>
                <w:bCs/>
                <w:sz w:val="16"/>
                <w:szCs w:val="16"/>
              </w:rPr>
            </w:pPr>
          </w:p>
          <w:p w14:paraId="118DD6C9" w14:textId="649E9D43" w:rsidR="004959AE" w:rsidRPr="00985BE6" w:rsidRDefault="001564A4" w:rsidP="004959AE">
            <w:pPr>
              <w:pStyle w:val="Default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4959AE" w:rsidRPr="00985BE6">
              <w:rPr>
                <w:sz w:val="22"/>
                <w:szCs w:val="22"/>
              </w:rPr>
              <w:t>Between November 2021</w:t>
            </w:r>
            <w:r w:rsidR="004959AE">
              <w:rPr>
                <w:sz w:val="22"/>
                <w:szCs w:val="22"/>
              </w:rPr>
              <w:t xml:space="preserve"> </w:t>
            </w:r>
            <w:r w:rsidR="004959AE" w:rsidRPr="00985BE6">
              <w:rPr>
                <w:sz w:val="22"/>
                <w:szCs w:val="22"/>
              </w:rPr>
              <w:t>and November 2022, we enrolled 50 patients</w:t>
            </w:r>
            <w:r w:rsidR="004959AE">
              <w:rPr>
                <w:sz w:val="22"/>
                <w:szCs w:val="22"/>
              </w:rPr>
              <w:t xml:space="preserve">: 25(50%) women; </w:t>
            </w:r>
            <w:r w:rsidR="004959AE" w:rsidRPr="00985BE6">
              <w:rPr>
                <w:sz w:val="22"/>
                <w:szCs w:val="22"/>
              </w:rPr>
              <w:t xml:space="preserve">mean age 66.9 years </w:t>
            </w:r>
            <w:r w:rsidR="004959AE">
              <w:rPr>
                <w:sz w:val="22"/>
                <w:szCs w:val="22"/>
              </w:rPr>
              <w:t>(</w:t>
            </w:r>
            <w:r w:rsidR="004959AE" w:rsidRPr="00985BE6">
              <w:rPr>
                <w:sz w:val="22"/>
                <w:szCs w:val="22"/>
              </w:rPr>
              <w:t>SD 10.3</w:t>
            </w:r>
            <w:r w:rsidR="004959AE">
              <w:rPr>
                <w:sz w:val="22"/>
                <w:szCs w:val="22"/>
              </w:rPr>
              <w:t>)</w:t>
            </w:r>
            <w:r w:rsidR="004959AE" w:rsidRPr="00985BE6">
              <w:rPr>
                <w:sz w:val="22"/>
                <w:szCs w:val="22"/>
              </w:rPr>
              <w:t>;</w:t>
            </w:r>
            <w:r w:rsidR="004959AE">
              <w:rPr>
                <w:sz w:val="22"/>
                <w:szCs w:val="22"/>
              </w:rPr>
              <w:t xml:space="preserve"> </w:t>
            </w:r>
            <w:r w:rsidR="004959AE" w:rsidRPr="00985BE6">
              <w:rPr>
                <w:sz w:val="22"/>
                <w:szCs w:val="22"/>
              </w:rPr>
              <w:t xml:space="preserve">forced vital capacity 76.0% </w:t>
            </w:r>
            <w:r w:rsidR="004959AE">
              <w:rPr>
                <w:sz w:val="22"/>
                <w:szCs w:val="22"/>
              </w:rPr>
              <w:t>(</w:t>
            </w:r>
            <w:r w:rsidR="004959AE" w:rsidRPr="00985BE6">
              <w:rPr>
                <w:sz w:val="22"/>
                <w:szCs w:val="22"/>
              </w:rPr>
              <w:t>SD 18.9</w:t>
            </w:r>
            <w:r w:rsidR="004959AE">
              <w:rPr>
                <w:sz w:val="22"/>
                <w:szCs w:val="22"/>
              </w:rPr>
              <w:t>)</w:t>
            </w:r>
            <w:r w:rsidR="004959AE" w:rsidRPr="00985BE6">
              <w:rPr>
                <w:sz w:val="22"/>
                <w:szCs w:val="22"/>
              </w:rPr>
              <w:t xml:space="preserve">; diffusing capacity for carbon monoxide 57.0% </w:t>
            </w:r>
            <w:r w:rsidR="004959AE">
              <w:rPr>
                <w:sz w:val="22"/>
                <w:szCs w:val="22"/>
              </w:rPr>
              <w:t>(</w:t>
            </w:r>
            <w:r w:rsidR="004959AE" w:rsidRPr="00985BE6">
              <w:rPr>
                <w:sz w:val="22"/>
                <w:szCs w:val="22"/>
              </w:rPr>
              <w:t>SD 16.9</w:t>
            </w:r>
            <w:r w:rsidR="004959AE">
              <w:rPr>
                <w:sz w:val="22"/>
                <w:szCs w:val="22"/>
              </w:rPr>
              <w:t>), 14/50(28%) using supplemental oxygen at baseline</w:t>
            </w:r>
            <w:r w:rsidR="004959AE" w:rsidRPr="00985BE6">
              <w:rPr>
                <w:sz w:val="22"/>
                <w:szCs w:val="22"/>
              </w:rPr>
              <w:t>.</w:t>
            </w:r>
            <w:r w:rsidR="005E75B9">
              <w:rPr>
                <w:sz w:val="22"/>
                <w:szCs w:val="22"/>
              </w:rPr>
              <w:t xml:space="preserve"> </w:t>
            </w:r>
            <w:r w:rsidR="004959AE">
              <w:rPr>
                <w:sz w:val="22"/>
                <w:szCs w:val="22"/>
              </w:rPr>
              <w:t>Over six months</w:t>
            </w:r>
            <w:r w:rsidR="004959AE" w:rsidRPr="00985BE6">
              <w:rPr>
                <w:sz w:val="22"/>
                <w:szCs w:val="22"/>
              </w:rPr>
              <w:t xml:space="preserve">, participants used the app an average of </w:t>
            </w:r>
            <w:r w:rsidR="004959AE">
              <w:rPr>
                <w:sz w:val="22"/>
                <w:szCs w:val="22"/>
              </w:rPr>
              <w:t>17.62</w:t>
            </w:r>
            <w:r w:rsidR="004959AE" w:rsidRPr="00985BE6">
              <w:rPr>
                <w:sz w:val="22"/>
                <w:szCs w:val="22"/>
              </w:rPr>
              <w:t xml:space="preserve"> times (SD </w:t>
            </w:r>
            <w:r w:rsidR="004959AE">
              <w:rPr>
                <w:sz w:val="22"/>
                <w:szCs w:val="22"/>
              </w:rPr>
              <w:t>22.77</w:t>
            </w:r>
            <w:r w:rsidR="004959AE" w:rsidRPr="00985BE6">
              <w:rPr>
                <w:sz w:val="22"/>
                <w:szCs w:val="22"/>
              </w:rPr>
              <w:t xml:space="preserve">) per </w:t>
            </w:r>
            <w:r w:rsidR="004959AE">
              <w:rPr>
                <w:sz w:val="22"/>
                <w:szCs w:val="22"/>
              </w:rPr>
              <w:t xml:space="preserve">month; </w:t>
            </w:r>
            <w:r w:rsidR="004959AE" w:rsidRPr="00985BE6">
              <w:rPr>
                <w:sz w:val="22"/>
                <w:szCs w:val="22"/>
              </w:rPr>
              <w:t xml:space="preserve">the most frequent users </w:t>
            </w:r>
            <w:r w:rsidR="004959AE">
              <w:rPr>
                <w:sz w:val="22"/>
                <w:szCs w:val="22"/>
              </w:rPr>
              <w:t>47.42</w:t>
            </w:r>
            <w:r w:rsidR="004959AE" w:rsidRPr="00985BE6">
              <w:rPr>
                <w:sz w:val="22"/>
                <w:szCs w:val="22"/>
              </w:rPr>
              <w:t xml:space="preserve"> times per </w:t>
            </w:r>
            <w:r w:rsidR="004959AE">
              <w:rPr>
                <w:sz w:val="22"/>
                <w:szCs w:val="22"/>
              </w:rPr>
              <w:t>month</w:t>
            </w:r>
            <w:r w:rsidR="004959AE" w:rsidRPr="00985BE6">
              <w:rPr>
                <w:sz w:val="22"/>
                <w:szCs w:val="22"/>
              </w:rPr>
              <w:t xml:space="preserve"> (SD </w:t>
            </w:r>
            <w:r w:rsidR="004959AE">
              <w:rPr>
                <w:sz w:val="22"/>
                <w:szCs w:val="22"/>
              </w:rPr>
              <w:t>26.50</w:t>
            </w:r>
            <w:r w:rsidR="004959AE" w:rsidRPr="00985BE6">
              <w:rPr>
                <w:sz w:val="22"/>
                <w:szCs w:val="22"/>
              </w:rPr>
              <w:t xml:space="preserve">). Participants completed </w:t>
            </w:r>
            <w:r w:rsidR="004959AE">
              <w:rPr>
                <w:sz w:val="22"/>
                <w:szCs w:val="22"/>
              </w:rPr>
              <w:t xml:space="preserve">an average of </w:t>
            </w:r>
            <w:r w:rsidR="004959AE" w:rsidRPr="00985BE6">
              <w:rPr>
                <w:sz w:val="22"/>
                <w:szCs w:val="22"/>
              </w:rPr>
              <w:t>23.56 PROM questionnaires (SD 14.09).</w:t>
            </w:r>
          </w:p>
          <w:p w14:paraId="097599DD" w14:textId="77777777" w:rsidR="004959AE" w:rsidRPr="00985BE6" w:rsidRDefault="004959AE" w:rsidP="004959AE">
            <w:pPr>
              <w:pStyle w:val="Default"/>
              <w:rPr>
                <w:sz w:val="22"/>
                <w:szCs w:val="22"/>
              </w:rPr>
            </w:pPr>
          </w:p>
          <w:p w14:paraId="68537800" w14:textId="13CBBC76" w:rsidR="001564A4" w:rsidRDefault="004959AE" w:rsidP="004959AE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985BE6">
              <w:rPr>
                <w:sz w:val="22"/>
                <w:szCs w:val="22"/>
              </w:rPr>
              <w:t>articipants agreed or strongly agreed that the app was easy to use (79/104,76.0%), easy to learn to use (83/104,79.8%)</w:t>
            </w:r>
            <w:r>
              <w:rPr>
                <w:sz w:val="22"/>
                <w:szCs w:val="22"/>
              </w:rPr>
              <w:t xml:space="preserve"> and </w:t>
            </w:r>
            <w:r w:rsidRPr="00985BE6">
              <w:rPr>
                <w:sz w:val="22"/>
                <w:szCs w:val="22"/>
              </w:rPr>
              <w:t>well-organised with accessible information (77/103,74.8</w:t>
            </w:r>
            <w:r>
              <w:rPr>
                <w:sz w:val="22"/>
                <w:szCs w:val="22"/>
              </w:rPr>
              <w:t>%)</w:t>
            </w:r>
            <w:r w:rsidRPr="00985BE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T</w:t>
            </w:r>
            <w:r w:rsidRPr="00985BE6">
              <w:rPr>
                <w:sz w:val="22"/>
                <w:szCs w:val="22"/>
              </w:rPr>
              <w:t>hemes identified from questionnaire</w:t>
            </w:r>
            <w:r>
              <w:rPr>
                <w:sz w:val="22"/>
                <w:szCs w:val="22"/>
              </w:rPr>
              <w:t xml:space="preserve">s </w:t>
            </w:r>
            <w:r w:rsidRPr="00985BE6">
              <w:rPr>
                <w:sz w:val="22"/>
                <w:szCs w:val="22"/>
              </w:rPr>
              <w:t xml:space="preserve">and telephone interviews included: the value of self-monitoring capabilities in prompting participants to be more aware of their lung health; and the importance of extra information and support in providing hope and motivation. Additional themes included </w:t>
            </w:r>
            <w:r>
              <w:rPr>
                <w:sz w:val="22"/>
                <w:szCs w:val="22"/>
              </w:rPr>
              <w:t>ease of operation</w:t>
            </w:r>
            <w:r w:rsidRPr="00985BE6">
              <w:rPr>
                <w:sz w:val="22"/>
                <w:szCs w:val="22"/>
              </w:rPr>
              <w:t xml:space="preserve"> of the app, and </w:t>
            </w:r>
            <w:r>
              <w:rPr>
                <w:sz w:val="22"/>
                <w:szCs w:val="22"/>
              </w:rPr>
              <w:t>utility for</w:t>
            </w:r>
            <w:r w:rsidRPr="00985BE6">
              <w:rPr>
                <w:sz w:val="22"/>
                <w:szCs w:val="22"/>
              </w:rPr>
              <w:t xml:space="preserve"> patients living </w:t>
            </w:r>
            <w:r>
              <w:rPr>
                <w:sz w:val="22"/>
                <w:szCs w:val="22"/>
              </w:rPr>
              <w:t>alone or remotely</w:t>
            </w:r>
            <w:r w:rsidRPr="00985BE6">
              <w:rPr>
                <w:sz w:val="22"/>
                <w:szCs w:val="22"/>
              </w:rPr>
              <w:t>. Participants also identified unmet support needs which could be addressed in future development</w:t>
            </w:r>
            <w:r>
              <w:rPr>
                <w:sz w:val="22"/>
                <w:szCs w:val="22"/>
              </w:rPr>
              <w:t>s.</w:t>
            </w:r>
          </w:p>
          <w:p w14:paraId="31862B3A" w14:textId="77777777" w:rsidR="004959AE" w:rsidRPr="004959AE" w:rsidRDefault="004959AE" w:rsidP="004959AE">
            <w:pPr>
              <w:pStyle w:val="Default"/>
            </w:pPr>
          </w:p>
          <w:p w14:paraId="4614FBF2" w14:textId="77777777" w:rsidR="004959AE" w:rsidRPr="00985BE6" w:rsidRDefault="001564A4" w:rsidP="004959AE">
            <w:pPr>
              <w:pStyle w:val="Pa12"/>
              <w:rPr>
                <w:rStyle w:val="A4"/>
              </w:rPr>
            </w:pPr>
            <w:r w:rsidRPr="00A40C47">
              <w:rPr>
                <w:rStyle w:val="A4"/>
                <w:b/>
                <w:bCs/>
              </w:rPr>
              <w:t>Conclusion:</w:t>
            </w:r>
            <w:r w:rsidR="002E213B" w:rsidRPr="00A40C47">
              <w:rPr>
                <w:rStyle w:val="A4"/>
                <w:b/>
                <w:bCs/>
              </w:rPr>
              <w:t xml:space="preserve"> </w:t>
            </w:r>
            <w:r w:rsidR="004959AE" w:rsidRPr="00985BE6">
              <w:rPr>
                <w:rStyle w:val="A4"/>
              </w:rPr>
              <w:t>RE-BUILD is a usable platform for patient self-monitoring and data collection</w:t>
            </w:r>
            <w:r w:rsidR="004959AE">
              <w:rPr>
                <w:rStyle w:val="A4"/>
              </w:rPr>
              <w:t>, with exciting potential for use in collaborative ILD research in Australia and globally.</w:t>
            </w:r>
          </w:p>
          <w:p w14:paraId="72762F48" w14:textId="77777777" w:rsidR="00BE7093" w:rsidRPr="00D3624A" w:rsidRDefault="00BE7093" w:rsidP="00BE7093">
            <w:pPr>
              <w:pStyle w:val="Default"/>
              <w:rPr>
                <w:sz w:val="16"/>
                <w:szCs w:val="16"/>
              </w:rPr>
            </w:pPr>
          </w:p>
          <w:p w14:paraId="1FF1A88F" w14:textId="04ECF677" w:rsidR="001564A4" w:rsidRPr="008D5287" w:rsidRDefault="001564A4" w:rsidP="008D5287">
            <w:pPr>
              <w:rPr>
                <w:rStyle w:val="A4"/>
                <w:rFonts w:ascii="Arial" w:hAnsi="Arial" w:cs="Arial"/>
                <w:color w:val="auto"/>
                <w:lang w:val="en-AU"/>
              </w:rPr>
            </w:pPr>
            <w:r w:rsidRPr="00A40C47">
              <w:rPr>
                <w:rStyle w:val="A4"/>
                <w:rFonts w:ascii="Arial" w:hAnsi="Arial" w:cs="Arial"/>
                <w:b/>
                <w:bCs/>
              </w:rPr>
              <w:t>Grant Support</w:t>
            </w:r>
            <w:r w:rsidRPr="00F33925">
              <w:rPr>
                <w:rStyle w:val="A4"/>
                <w:rFonts w:ascii="Arial" w:hAnsi="Arial" w:cs="Arial"/>
                <w:b/>
                <w:bCs/>
              </w:rPr>
              <w:t xml:space="preserve">: </w:t>
            </w:r>
            <w:r w:rsidR="00F33925">
              <w:rPr>
                <w:rStyle w:val="A4"/>
                <w:rFonts w:ascii="Arial" w:hAnsi="Arial" w:cs="Arial"/>
              </w:rPr>
              <w:t xml:space="preserve">This project was supported by the Centre of Research Excellence in Pulmonary Fibrosis which is funded by the NHMRC (GNT1116371 and GNT2015613), Lung Foundation Australia, Boehringer Ingelheim, and anonymous philanthropy. </w:t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39299CDD" w14:textId="77FCF19B" w:rsidR="000251B2" w:rsidRPr="000251B2" w:rsidRDefault="000251B2" w:rsidP="008D5287">
      <w:pPr>
        <w:rPr>
          <w:rFonts w:ascii="Arial" w:hAnsi="Arial" w:cs="Arial"/>
          <w:b/>
          <w:bCs/>
          <w:sz w:val="22"/>
          <w:szCs w:val="22"/>
        </w:rPr>
      </w:pPr>
    </w:p>
    <w:sectPr w:rsidR="000251B2" w:rsidRPr="000251B2" w:rsidSect="00D3624A">
      <w:pgSz w:w="11906" w:h="16838"/>
      <w:pgMar w:top="1020" w:right="1440" w:bottom="6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7B7"/>
    <w:multiLevelType w:val="hybridMultilevel"/>
    <w:tmpl w:val="6A1C27E2"/>
    <w:lvl w:ilvl="0" w:tplc="16F038E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44C9"/>
    <w:multiLevelType w:val="hybridMultilevel"/>
    <w:tmpl w:val="939EA934"/>
    <w:lvl w:ilvl="0" w:tplc="26EA400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C5630"/>
    <w:multiLevelType w:val="hybridMultilevel"/>
    <w:tmpl w:val="36C23DF0"/>
    <w:lvl w:ilvl="0" w:tplc="A4480FE6">
      <w:start w:val="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9520549">
    <w:abstractNumId w:val="1"/>
  </w:num>
  <w:num w:numId="2" w16cid:durableId="1897936033">
    <w:abstractNumId w:val="2"/>
  </w:num>
  <w:num w:numId="3" w16cid:durableId="179964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51B2"/>
    <w:rsid w:val="00150427"/>
    <w:rsid w:val="001564A4"/>
    <w:rsid w:val="001A0345"/>
    <w:rsid w:val="001A6FB0"/>
    <w:rsid w:val="002B489D"/>
    <w:rsid w:val="002C7527"/>
    <w:rsid w:val="002E213B"/>
    <w:rsid w:val="00320FF3"/>
    <w:rsid w:val="003916F1"/>
    <w:rsid w:val="003D0CD3"/>
    <w:rsid w:val="003E70A8"/>
    <w:rsid w:val="00411BEB"/>
    <w:rsid w:val="004467A2"/>
    <w:rsid w:val="004959AE"/>
    <w:rsid w:val="004B561B"/>
    <w:rsid w:val="0051574E"/>
    <w:rsid w:val="00585A23"/>
    <w:rsid w:val="005E75B9"/>
    <w:rsid w:val="006275D8"/>
    <w:rsid w:val="00685F7D"/>
    <w:rsid w:val="006B1D89"/>
    <w:rsid w:val="006B6E4A"/>
    <w:rsid w:val="007D32FA"/>
    <w:rsid w:val="007D4235"/>
    <w:rsid w:val="00812ABE"/>
    <w:rsid w:val="008357C5"/>
    <w:rsid w:val="00836F31"/>
    <w:rsid w:val="008431CE"/>
    <w:rsid w:val="00863443"/>
    <w:rsid w:val="008803FA"/>
    <w:rsid w:val="008952FD"/>
    <w:rsid w:val="008D5287"/>
    <w:rsid w:val="009060F1"/>
    <w:rsid w:val="009806FD"/>
    <w:rsid w:val="009935E8"/>
    <w:rsid w:val="009E41E9"/>
    <w:rsid w:val="00A32B1A"/>
    <w:rsid w:val="00A342BC"/>
    <w:rsid w:val="00A40C47"/>
    <w:rsid w:val="00AA5290"/>
    <w:rsid w:val="00B12E32"/>
    <w:rsid w:val="00B63779"/>
    <w:rsid w:val="00BE7093"/>
    <w:rsid w:val="00CE245B"/>
    <w:rsid w:val="00D118A4"/>
    <w:rsid w:val="00D30B77"/>
    <w:rsid w:val="00D3624A"/>
    <w:rsid w:val="00D737D1"/>
    <w:rsid w:val="00D8055B"/>
    <w:rsid w:val="00E0700F"/>
    <w:rsid w:val="00E9779D"/>
    <w:rsid w:val="00ED24FD"/>
    <w:rsid w:val="00F3336F"/>
    <w:rsid w:val="00F33925"/>
    <w:rsid w:val="00F4785A"/>
    <w:rsid w:val="00F62432"/>
    <w:rsid w:val="00F63A92"/>
    <w:rsid w:val="00F741BD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3D0CD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0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C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CD3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CD3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m-5833797411635645505a4">
    <w:name w:val="m-5833797411635645505a4"/>
    <w:basedOn w:val="DefaultParagraphFont"/>
    <w:rsid w:val="009806FD"/>
  </w:style>
  <w:style w:type="character" w:customStyle="1" w:styleId="m-5833797411635645505apple-converted-space">
    <w:name w:val="m-5833797411635645505apple-converted-space"/>
    <w:basedOn w:val="DefaultParagraphFont"/>
    <w:rsid w:val="009806FD"/>
  </w:style>
  <w:style w:type="character" w:customStyle="1" w:styleId="apple-converted-space">
    <w:name w:val="apple-converted-space"/>
    <w:basedOn w:val="DefaultParagraphFont"/>
    <w:rsid w:val="009806FD"/>
  </w:style>
  <w:style w:type="paragraph" w:styleId="ListParagraph">
    <w:name w:val="List Paragraph"/>
    <w:basedOn w:val="Normal"/>
    <w:uiPriority w:val="34"/>
    <w:qFormat/>
    <w:rsid w:val="00025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Laura Glenn (Sydney LHD)</cp:lastModifiedBy>
  <cp:revision>4</cp:revision>
  <dcterms:created xsi:type="dcterms:W3CDTF">2023-10-19T00:50:00Z</dcterms:created>
  <dcterms:modified xsi:type="dcterms:W3CDTF">2023-10-19T06:14:00Z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