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3"/>
      </w:tblGrid>
      <w:tr w:rsidR="001564A4" w:rsidRPr="0050053A" w14:paraId="5C38377B" w14:textId="77777777" w:rsidTr="00B07834">
        <w:trPr>
          <w:trHeight w:val="558"/>
          <w:jc w:val="center"/>
        </w:trPr>
        <w:tc>
          <w:tcPr>
            <w:tcW w:w="9543" w:type="dxa"/>
            <w:shd w:val="clear" w:color="auto" w:fill="auto"/>
          </w:tcPr>
          <w:p w14:paraId="5C44F357" w14:textId="0C9849CA" w:rsidR="001564A4" w:rsidRPr="0050053A" w:rsidRDefault="008D6D0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DA5 </w:t>
            </w:r>
            <w:r w:rsidR="00F57E5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antibodies and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nterstitial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ung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isease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: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clinical characteristics</w:t>
            </w:r>
            <w:r w:rsidR="00F57E5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and outcomes</w:t>
            </w:r>
          </w:p>
        </w:tc>
      </w:tr>
      <w:tr w:rsidR="008F7D03" w:rsidRPr="0050053A" w14:paraId="0E2E035C" w14:textId="77777777" w:rsidTr="008F7D03">
        <w:trPr>
          <w:trHeight w:val="517"/>
          <w:jc w:val="center"/>
        </w:trPr>
        <w:tc>
          <w:tcPr>
            <w:tcW w:w="9543" w:type="dxa"/>
            <w:shd w:val="clear" w:color="auto" w:fill="auto"/>
          </w:tcPr>
          <w:p w14:paraId="73B55295" w14:textId="77795026" w:rsidR="008F7D03" w:rsidRPr="00413B94" w:rsidRDefault="008F7D03" w:rsidP="008F7D0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Reece Jefferies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Chris Bundell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Anna Brusch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Jeremy Wrobel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Yuben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Moodley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1,5</w:t>
            </w:r>
          </w:p>
        </w:tc>
      </w:tr>
      <w:tr w:rsidR="008F7D03" w:rsidRPr="0050053A" w14:paraId="385A19D9" w14:textId="77777777" w:rsidTr="00F57E5A">
        <w:trPr>
          <w:trHeight w:val="213"/>
          <w:jc w:val="center"/>
        </w:trPr>
        <w:tc>
          <w:tcPr>
            <w:tcW w:w="9543" w:type="dxa"/>
            <w:shd w:val="clear" w:color="auto" w:fill="auto"/>
          </w:tcPr>
          <w:p w14:paraId="443AA7FE" w14:textId="77777777" w:rsidR="008F7D03" w:rsidRPr="0050053A" w:rsidRDefault="008F7D03" w:rsidP="008F7D0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34394">
              <w:rPr>
                <w:color w:val="000000" w:themeColor="text1"/>
              </w:rPr>
              <w:t xml:space="preserve"> </w:t>
            </w:r>
            <w:r w:rsidRPr="001421B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Department of Respiratory Medicine, Fiona Stanley Hospital, Western Australia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, Australia</w:t>
            </w:r>
          </w:p>
          <w:p w14:paraId="194B9770" w14:textId="77777777" w:rsidR="008F7D03" w:rsidRPr="0050053A" w:rsidRDefault="008F7D03" w:rsidP="008F7D0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Clinical Immunology,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PathWest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Laboratory Medicine Queen Elizabeth II Medical Centre, Western Australia, Australia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03FD6734" w14:textId="77777777" w:rsidR="008F7D03" w:rsidRPr="0050053A" w:rsidRDefault="008F7D03" w:rsidP="008F7D0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Neuromuscular and Neurological Disorders, University of Western Australia, Australia</w:t>
            </w:r>
          </w:p>
          <w:p w14:paraId="2B6CDC41" w14:textId="77777777" w:rsidR="008F7D03" w:rsidRDefault="008F7D03" w:rsidP="008F7D0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University of Notre Dame Australia, Western Australia, Australia</w:t>
            </w:r>
          </w:p>
          <w:p w14:paraId="45ED36BF" w14:textId="0A4A8375" w:rsidR="008F7D03" w:rsidRPr="0050053A" w:rsidRDefault="008F7D03" w:rsidP="008F7D0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University of Western Australia, Australia</w:t>
            </w:r>
          </w:p>
        </w:tc>
      </w:tr>
      <w:tr w:rsidR="008F7D03" w:rsidRPr="0050053A" w14:paraId="6DAF615A" w14:textId="77777777" w:rsidTr="00F57E5A">
        <w:trPr>
          <w:trHeight w:hRule="exact" w:val="10784"/>
          <w:jc w:val="center"/>
        </w:trPr>
        <w:tc>
          <w:tcPr>
            <w:tcW w:w="9543" w:type="dxa"/>
            <w:shd w:val="clear" w:color="auto" w:fill="auto"/>
          </w:tcPr>
          <w:p w14:paraId="739E7937" w14:textId="77777777" w:rsidR="008F7D03" w:rsidRPr="0050053A" w:rsidRDefault="008F7D03" w:rsidP="008F7D03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68F417E8" w:rsidR="008F7D03" w:rsidRPr="008D6D04" w:rsidRDefault="008F7D03" w:rsidP="008F7D03">
            <w:pPr>
              <w:pStyle w:val="Pa1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</w:t>
            </w:r>
            <w:r w:rsidRPr="008D6D04">
              <w:rPr>
                <w:color w:val="000000" w:themeColor="text1"/>
                <w:sz w:val="22"/>
                <w:szCs w:val="22"/>
              </w:rPr>
              <w:t>nti-melanoma differentiation-associated gene 5 (MDA5) is associated with rapidly progressive interstitial lung disease (RP-ILD). Our aim was to evaluate</w:t>
            </w:r>
            <w:r>
              <w:rPr>
                <w:color w:val="000000" w:themeColor="text1"/>
                <w:sz w:val="22"/>
                <w:szCs w:val="22"/>
              </w:rPr>
              <w:t xml:space="preserve"> clinical characteristics and outcomes</w:t>
            </w:r>
            <w:r w:rsidRPr="008D6D04">
              <w:rPr>
                <w:color w:val="000000" w:themeColor="text1"/>
                <w:sz w:val="22"/>
                <w:szCs w:val="22"/>
              </w:rPr>
              <w:t xml:space="preserve"> of different phenotypes of MDA5 </w:t>
            </w:r>
            <w:r>
              <w:rPr>
                <w:color w:val="000000" w:themeColor="text1"/>
                <w:sz w:val="22"/>
                <w:szCs w:val="22"/>
              </w:rPr>
              <w:t>with</w:t>
            </w:r>
            <w:r w:rsidRPr="008D6D04">
              <w:rPr>
                <w:color w:val="000000" w:themeColor="text1"/>
                <w:sz w:val="22"/>
                <w:szCs w:val="22"/>
              </w:rPr>
              <w:t xml:space="preserve"> ILD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3D770CF7" w14:textId="77777777" w:rsidR="008F7D03" w:rsidRPr="0050053A" w:rsidRDefault="008F7D03" w:rsidP="008F7D03">
            <w:pPr>
              <w:pStyle w:val="Pa12"/>
              <w:rPr>
                <w:rStyle w:val="A4"/>
                <w:bCs/>
              </w:rPr>
            </w:pPr>
          </w:p>
          <w:p w14:paraId="1B39336E" w14:textId="77777777" w:rsidR="008F7D03" w:rsidRPr="0050053A" w:rsidRDefault="008F7D03" w:rsidP="008F7D03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356D5274" w:rsidR="008F7D03" w:rsidRPr="00024BD8" w:rsidRDefault="008F7D03" w:rsidP="008F7D03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All patients at Fiona Stanley Hospital who tested positive for MDA5 antibodies from January 2017 to July 2023 </w:t>
            </w:r>
            <w:r w:rsidRPr="00024BD8">
              <w:rPr>
                <w:sz w:val="22"/>
                <w:szCs w:val="22"/>
              </w:rPr>
              <w:t xml:space="preserve">were </w:t>
            </w:r>
            <w:r>
              <w:rPr>
                <w:sz w:val="22"/>
                <w:szCs w:val="22"/>
              </w:rPr>
              <w:t>identified</w:t>
            </w:r>
            <w:r w:rsidRPr="00024BD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Records were reviewed for </w:t>
            </w:r>
            <w:r w:rsidRPr="00024BD8">
              <w:rPr>
                <w:sz w:val="22"/>
                <w:szCs w:val="22"/>
              </w:rPr>
              <w:t>demographics,</w:t>
            </w:r>
            <w:r>
              <w:rPr>
                <w:sz w:val="22"/>
                <w:szCs w:val="22"/>
              </w:rPr>
              <w:t xml:space="preserve"> clinical presentation, presence of ILD, </w:t>
            </w:r>
            <w:r w:rsidRPr="00024BD8">
              <w:rPr>
                <w:sz w:val="22"/>
                <w:szCs w:val="22"/>
              </w:rPr>
              <w:t>pulmonary function tests</w:t>
            </w:r>
            <w:r>
              <w:rPr>
                <w:sz w:val="22"/>
                <w:szCs w:val="22"/>
              </w:rPr>
              <w:t>,</w:t>
            </w:r>
            <w:r w:rsidRPr="00024BD8">
              <w:rPr>
                <w:sz w:val="22"/>
                <w:szCs w:val="22"/>
              </w:rPr>
              <w:t xml:space="preserve"> radiologic pattern</w:t>
            </w:r>
            <w:r>
              <w:rPr>
                <w:sz w:val="22"/>
                <w:szCs w:val="22"/>
              </w:rPr>
              <w:t xml:space="preserve"> and </w:t>
            </w:r>
            <w:r w:rsidRPr="00024BD8">
              <w:rPr>
                <w:sz w:val="22"/>
                <w:szCs w:val="22"/>
              </w:rPr>
              <w:t>survival.</w:t>
            </w:r>
            <w:r>
              <w:rPr>
                <w:sz w:val="22"/>
                <w:szCs w:val="22"/>
              </w:rPr>
              <w:t xml:space="preserve"> Patients with ILD were categorised as having MDA5 associated ILD (dermatomyositis, myositis or RP-ILD) or alternative cause for ILD. MDA5 antibodies were assessed as weak, moderate or strong.</w:t>
            </w:r>
            <w:r w:rsidRPr="00024BD8">
              <w:rPr>
                <w:sz w:val="22"/>
                <w:szCs w:val="22"/>
              </w:rPr>
              <w:br/>
            </w:r>
          </w:p>
          <w:p w14:paraId="18F77515" w14:textId="5033295A" w:rsidR="008F7D03" w:rsidRDefault="008F7D03" w:rsidP="008F7D03">
            <w:pPr>
              <w:pStyle w:val="Pa12"/>
              <w:rPr>
                <w:sz w:val="22"/>
                <w:szCs w:val="22"/>
              </w:rPr>
            </w:pPr>
            <w:r w:rsidRPr="00024BD8">
              <w:rPr>
                <w:rStyle w:val="A4"/>
                <w:b/>
                <w:bCs/>
              </w:rPr>
              <w:t xml:space="preserve">Results: </w:t>
            </w:r>
            <w:r>
              <w:rPr>
                <w:rStyle w:val="A4"/>
                <w:b/>
                <w:bCs/>
              </w:rPr>
              <w:br/>
            </w:r>
            <w:r>
              <w:rPr>
                <w:sz w:val="22"/>
                <w:szCs w:val="22"/>
              </w:rPr>
              <w:t>33</w:t>
            </w:r>
            <w:r w:rsidRPr="00024BD8">
              <w:rPr>
                <w:sz w:val="22"/>
                <w:szCs w:val="22"/>
              </w:rPr>
              <w:t xml:space="preserve"> patients with MDA5 antibodies </w:t>
            </w:r>
            <w:r>
              <w:rPr>
                <w:sz w:val="22"/>
                <w:szCs w:val="22"/>
              </w:rPr>
              <w:t xml:space="preserve">were identified </w:t>
            </w:r>
            <w:r w:rsidR="00AC1A50">
              <w:rPr>
                <w:sz w:val="22"/>
                <w:szCs w:val="22"/>
              </w:rPr>
              <w:t>(see table)</w:t>
            </w:r>
            <w:r>
              <w:rPr>
                <w:sz w:val="22"/>
                <w:szCs w:val="22"/>
              </w:rPr>
              <w:t xml:space="preserve">. Of </w:t>
            </w:r>
            <w:r w:rsidR="00AC1A50">
              <w:rPr>
                <w:sz w:val="22"/>
                <w:szCs w:val="22"/>
              </w:rPr>
              <w:t xml:space="preserve">8 cases of </w:t>
            </w:r>
            <w:r>
              <w:rPr>
                <w:sz w:val="22"/>
                <w:szCs w:val="22"/>
              </w:rPr>
              <w:t xml:space="preserve">MDA5 associated ILD, </w:t>
            </w:r>
            <w:r w:rsidRPr="00024BD8">
              <w:rPr>
                <w:sz w:val="22"/>
                <w:szCs w:val="22"/>
              </w:rPr>
              <w:t xml:space="preserve">5 </w:t>
            </w:r>
            <w:r w:rsidR="00AC1A50">
              <w:rPr>
                <w:sz w:val="22"/>
                <w:szCs w:val="22"/>
              </w:rPr>
              <w:t xml:space="preserve">had </w:t>
            </w:r>
            <w:r w:rsidRPr="00024BD8">
              <w:rPr>
                <w:sz w:val="22"/>
                <w:szCs w:val="22"/>
              </w:rPr>
              <w:t>RP-ILD and died in the index admission</w:t>
            </w:r>
            <w:r>
              <w:rPr>
                <w:sz w:val="22"/>
                <w:szCs w:val="22"/>
              </w:rPr>
              <w:t>,</w:t>
            </w:r>
            <w:r w:rsidRPr="00024BD8">
              <w:rPr>
                <w:sz w:val="22"/>
                <w:szCs w:val="22"/>
              </w:rPr>
              <w:t xml:space="preserve"> 1 had a severe exacerbation</w:t>
            </w:r>
            <w:r w:rsidR="00AC1A50">
              <w:rPr>
                <w:sz w:val="22"/>
                <w:szCs w:val="22"/>
              </w:rPr>
              <w:t>, 1 has slowly progressive ILD and 1 has mild ILD</w:t>
            </w:r>
            <w:r w:rsidRPr="00024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5/8 (62.5%) patients with MDA5 associated ILD died, mean survival 0.85 months from date of testing and 3 months from symptom onset. 4/11</w:t>
            </w:r>
            <w:r w:rsidR="00AC1A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(36%) with MDA5 with alternative cause of ILD died, mean survival 32.8 months since date of testing and 103 months from symptom onset. 4/5 (80%) cases with RP-ILD had moderate or strong antibodies.</w:t>
            </w:r>
          </w:p>
          <w:p w14:paraId="3932D711" w14:textId="6E7177F2" w:rsidR="008F7D03" w:rsidRDefault="008F7D03" w:rsidP="008F7D03">
            <w:pPr>
              <w:pStyle w:val="Default"/>
            </w:pPr>
          </w:p>
          <w:tbl>
            <w:tblPr>
              <w:tblStyle w:val="TableGrid"/>
              <w:tblW w:w="8526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2147"/>
              <w:gridCol w:w="3686"/>
              <w:gridCol w:w="2693"/>
            </w:tblGrid>
            <w:tr w:rsidR="008F7D03" w14:paraId="3B6C1FC8" w14:textId="77777777" w:rsidTr="00AC1A50">
              <w:trPr>
                <w:trHeight w:val="568"/>
              </w:trPr>
              <w:tc>
                <w:tcPr>
                  <w:tcW w:w="2147" w:type="dxa"/>
                </w:tcPr>
                <w:p w14:paraId="61C6ADC4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MDA5 without ILD (n=14)</w:t>
                  </w:r>
                </w:p>
              </w:tc>
              <w:tc>
                <w:tcPr>
                  <w:tcW w:w="3686" w:type="dxa"/>
                </w:tcPr>
                <w:p w14:paraId="1E051D82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MDA5 with alternative cause of ILD (n=11)</w:t>
                  </w:r>
                </w:p>
              </w:tc>
              <w:tc>
                <w:tcPr>
                  <w:tcW w:w="2693" w:type="dxa"/>
                </w:tcPr>
                <w:p w14:paraId="4549CDE2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MDA5 associated ILD (n=8)</w:t>
                  </w:r>
                </w:p>
              </w:tc>
            </w:tr>
            <w:tr w:rsidR="008F7D03" w14:paraId="31EBEE44" w14:textId="77777777" w:rsidTr="00AC1A50">
              <w:trPr>
                <w:trHeight w:val="1421"/>
              </w:trPr>
              <w:tc>
                <w:tcPr>
                  <w:tcW w:w="2147" w:type="dxa"/>
                </w:tcPr>
                <w:p w14:paraId="3E0C1CD7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Scleroderma (7)</w:t>
                  </w:r>
                </w:p>
                <w:p w14:paraId="71BB2E22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CADM</w:t>
                  </w: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 xml:space="preserve"> (1)</w:t>
                  </w:r>
                </w:p>
                <w:p w14:paraId="34E5B9E0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Overlap connective tissue disease (1)</w:t>
                  </w:r>
                </w:p>
                <w:p w14:paraId="6C189306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Other (4)</w:t>
                  </w:r>
                </w:p>
              </w:tc>
              <w:tc>
                <w:tcPr>
                  <w:tcW w:w="3686" w:type="dxa"/>
                </w:tcPr>
                <w:p w14:paraId="05CD466B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IPF (5)</w:t>
                  </w: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br/>
                    <w:t>Other CTD-ILD (4)</w:t>
                  </w:r>
                </w:p>
                <w:p w14:paraId="2F132674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Idiopathic NSIP (1)</w:t>
                  </w:r>
                </w:p>
                <w:p w14:paraId="0CB6F0BB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Sarcoidosis (1)</w:t>
                  </w:r>
                </w:p>
              </w:tc>
              <w:tc>
                <w:tcPr>
                  <w:tcW w:w="2693" w:type="dxa"/>
                </w:tcPr>
                <w:p w14:paraId="613DFF70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CADM</w:t>
                  </w: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 xml:space="preserve"> (3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; 2 with RP-ILD</w:t>
                  </w: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  <w:p w14:paraId="227D4CCC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 xml:space="preserve">RP-ILD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in isolation</w:t>
                  </w: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 xml:space="preserve"> (3)</w:t>
                  </w:r>
                </w:p>
                <w:p w14:paraId="3BF7F12C" w14:textId="77777777" w:rsidR="008F7D03" w:rsidRPr="00F57E5A" w:rsidRDefault="008F7D03" w:rsidP="008F7D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t>Myositis (2)</w:t>
                  </w:r>
                  <w:r w:rsidRPr="00F57E5A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</w:tc>
            </w:tr>
            <w:tr w:rsidR="008F7D03" w14:paraId="19C65FC9" w14:textId="77777777" w:rsidTr="00AC1A50">
              <w:trPr>
                <w:trHeight w:val="381"/>
              </w:trPr>
              <w:tc>
                <w:tcPr>
                  <w:tcW w:w="8526" w:type="dxa"/>
                  <w:gridSpan w:val="3"/>
                </w:tcPr>
                <w:p w14:paraId="746675E9" w14:textId="4C954D41" w:rsidR="008F7D03" w:rsidRPr="00F57E5A" w:rsidRDefault="008F7D03" w:rsidP="008F7D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7E5A">
                    <w:rPr>
                      <w:rFonts w:ascii="Arial" w:hAnsi="Arial" w:cs="Arial"/>
                      <w:sz w:val="16"/>
                      <w:szCs w:val="16"/>
                    </w:rPr>
                    <w:t>CADM=clinically amyopathic dermatomyositis, IPF=idiopathic pulmonary fibrosis, CTD-ILD=connective tissue disease-ILD, NSIP=Non-specific interstitial pneumonia.</w:t>
                  </w:r>
                </w:p>
              </w:tc>
            </w:tr>
          </w:tbl>
          <w:p w14:paraId="121377C7" w14:textId="77777777" w:rsidR="008F7D03" w:rsidRPr="00F57E5A" w:rsidRDefault="008F7D03" w:rsidP="008F7D03">
            <w:pPr>
              <w:pStyle w:val="Default"/>
            </w:pPr>
          </w:p>
          <w:p w14:paraId="68537800" w14:textId="77777777" w:rsidR="008F7D03" w:rsidRPr="00024BD8" w:rsidRDefault="008F7D03" w:rsidP="008F7D03">
            <w:pPr>
              <w:pStyle w:val="Pa12"/>
              <w:rPr>
                <w:rStyle w:val="A4"/>
                <w:bCs/>
              </w:rPr>
            </w:pPr>
          </w:p>
          <w:p w14:paraId="652F7BE1" w14:textId="77777777" w:rsidR="008F7D03" w:rsidRPr="00024BD8" w:rsidRDefault="008F7D03" w:rsidP="008F7D03">
            <w:pPr>
              <w:pStyle w:val="Pa12"/>
              <w:rPr>
                <w:rStyle w:val="A4"/>
                <w:b/>
                <w:bCs/>
              </w:rPr>
            </w:pPr>
            <w:r w:rsidRPr="00024BD8">
              <w:rPr>
                <w:rStyle w:val="A4"/>
                <w:b/>
                <w:bCs/>
              </w:rPr>
              <w:t xml:space="preserve">Conclusion: </w:t>
            </w:r>
          </w:p>
          <w:p w14:paraId="7E9DC1EB" w14:textId="73AFE4C9" w:rsidR="008F7D03" w:rsidRPr="008F7D03" w:rsidRDefault="008F7D03" w:rsidP="008F7D03">
            <w:pPr>
              <w:rPr>
                <w:rFonts w:ascii="Arial" w:hAnsi="Arial" w:cs="Arial"/>
                <w:lang w:val="en-AU"/>
              </w:rPr>
            </w:pPr>
            <w:r w:rsidRPr="008F7D03">
              <w:rPr>
                <w:rFonts w:ascii="Arial" w:hAnsi="Arial" w:cs="Arial"/>
                <w:color w:val="000000"/>
                <w:sz w:val="22"/>
                <w:szCs w:val="22"/>
              </w:rPr>
              <w:t xml:space="preserve">Although MDA5 associated ILD </w:t>
            </w:r>
            <w:r w:rsidR="00AC1A50">
              <w:rPr>
                <w:rFonts w:ascii="Arial" w:hAnsi="Arial" w:cs="Arial"/>
                <w:color w:val="000000"/>
                <w:sz w:val="22"/>
                <w:szCs w:val="22"/>
              </w:rPr>
              <w:t>is</w:t>
            </w:r>
            <w:r w:rsidRPr="008F7D0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associated with RP-ILD with devastating outcomes, we identified 42% of cases of MDA5</w:t>
            </w:r>
            <w:r w:rsidR="00AC1A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F7D03">
              <w:rPr>
                <w:rFonts w:ascii="Arial" w:hAnsi="Arial" w:cs="Arial"/>
                <w:color w:val="000000"/>
                <w:sz w:val="22"/>
                <w:szCs w:val="22"/>
              </w:rPr>
              <w:t xml:space="preserve">without ILD and a further 33% of cases of incidental MDA5 </w:t>
            </w:r>
            <w:r w:rsidR="00AC1A50">
              <w:rPr>
                <w:rFonts w:ascii="Arial" w:hAnsi="Arial" w:cs="Arial"/>
                <w:color w:val="000000"/>
                <w:sz w:val="22"/>
                <w:szCs w:val="22"/>
              </w:rPr>
              <w:t xml:space="preserve">positivity </w:t>
            </w:r>
            <w:r w:rsidRPr="008F7D03">
              <w:rPr>
                <w:rFonts w:ascii="Arial" w:hAnsi="Arial" w:cs="Arial"/>
                <w:color w:val="000000"/>
                <w:sz w:val="22"/>
                <w:szCs w:val="22"/>
              </w:rPr>
              <w:t xml:space="preserve">that did not appear to influence ILD diagnosis or prognosis. </w:t>
            </w:r>
            <w:r w:rsidR="00AC1A50">
              <w:rPr>
                <w:rFonts w:ascii="Arial" w:hAnsi="Arial" w:cs="Arial"/>
                <w:color w:val="000000"/>
                <w:sz w:val="22"/>
                <w:szCs w:val="22"/>
              </w:rPr>
              <w:t xml:space="preserve">Whilst MDA5 </w:t>
            </w:r>
            <w:r w:rsidRPr="008F7D03">
              <w:rPr>
                <w:rFonts w:ascii="Arial" w:hAnsi="Arial" w:cs="Arial"/>
                <w:color w:val="000000"/>
                <w:sz w:val="22"/>
                <w:szCs w:val="22"/>
              </w:rPr>
              <w:t>can be a poor prognostic marker, it is not universally the case.</w:t>
            </w:r>
          </w:p>
          <w:p w14:paraId="196E7BAC" w14:textId="280604C9" w:rsidR="008F7D03" w:rsidRPr="00024BD8" w:rsidRDefault="008F7D03" w:rsidP="008F7D03">
            <w:pPr>
              <w:pStyle w:val="Pa12"/>
              <w:rPr>
                <w:rStyle w:val="A4"/>
                <w:color w:val="auto"/>
              </w:rPr>
            </w:pPr>
          </w:p>
          <w:p w14:paraId="3E8B4283" w14:textId="77777777" w:rsidR="008F7D03" w:rsidRPr="0050053A" w:rsidRDefault="008F7D03" w:rsidP="008F7D03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6FC2B827" w:rsidR="008F7D03" w:rsidRDefault="008F7D03" w:rsidP="008F7D0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8F7D03" w:rsidRDefault="008F7D03" w:rsidP="008F7D03">
            <w:pPr>
              <w:pStyle w:val="Default"/>
            </w:pPr>
          </w:p>
          <w:p w14:paraId="34BF0A0F" w14:textId="77777777" w:rsidR="008F7D03" w:rsidRPr="003E35F0" w:rsidRDefault="008F7D03" w:rsidP="008F7D03">
            <w:pPr>
              <w:pStyle w:val="Default"/>
            </w:pPr>
          </w:p>
          <w:p w14:paraId="1FF1A88F" w14:textId="77777777" w:rsidR="008F7D03" w:rsidRPr="0050053A" w:rsidRDefault="008F7D03" w:rsidP="008F7D03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8F7D03" w:rsidRPr="0050053A" w:rsidRDefault="008F7D03" w:rsidP="008F7D03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8F7D03" w:rsidRPr="0050053A" w:rsidRDefault="008F7D03" w:rsidP="008F7D03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1B7EFFE5" w14:textId="6626FA3B" w:rsidR="00F57E5A" w:rsidRDefault="00F57E5A" w:rsidP="001564A4"/>
    <w:p w14:paraId="3CDA7FAD" w14:textId="2560D648" w:rsidR="00F57E5A" w:rsidRDefault="00F57E5A" w:rsidP="001564A4"/>
    <w:p w14:paraId="0F09581C" w14:textId="7485D660" w:rsidR="00F57E5A" w:rsidRDefault="00F57E5A" w:rsidP="001564A4"/>
    <w:p w14:paraId="24994B12" w14:textId="77777777" w:rsidR="00F57E5A" w:rsidRDefault="00F57E5A" w:rsidP="001564A4"/>
    <w:sectPr w:rsidR="00F57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ED93" w14:textId="77777777" w:rsidR="006E40A1" w:rsidRDefault="006E40A1" w:rsidP="00F57E5A">
      <w:r>
        <w:separator/>
      </w:r>
    </w:p>
  </w:endnote>
  <w:endnote w:type="continuationSeparator" w:id="0">
    <w:p w14:paraId="7C07C59E" w14:textId="77777777" w:rsidR="006E40A1" w:rsidRDefault="006E40A1" w:rsidP="00F5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18DB" w14:textId="77777777" w:rsidR="006E40A1" w:rsidRDefault="006E40A1" w:rsidP="00F57E5A">
      <w:r>
        <w:separator/>
      </w:r>
    </w:p>
  </w:footnote>
  <w:footnote w:type="continuationSeparator" w:id="0">
    <w:p w14:paraId="59D24583" w14:textId="77777777" w:rsidR="006E40A1" w:rsidRDefault="006E40A1" w:rsidP="00F5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87D42"/>
    <w:multiLevelType w:val="multilevel"/>
    <w:tmpl w:val="4B5C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C5601"/>
    <w:multiLevelType w:val="hybridMultilevel"/>
    <w:tmpl w:val="142E7200"/>
    <w:lvl w:ilvl="0" w:tplc="3E327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74437">
    <w:abstractNumId w:val="1"/>
  </w:num>
  <w:num w:numId="2" w16cid:durableId="55011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4BD8"/>
    <w:rsid w:val="00045568"/>
    <w:rsid w:val="001421BA"/>
    <w:rsid w:val="001564A4"/>
    <w:rsid w:val="004C53A6"/>
    <w:rsid w:val="0051574E"/>
    <w:rsid w:val="005E079B"/>
    <w:rsid w:val="00677E28"/>
    <w:rsid w:val="006E40A1"/>
    <w:rsid w:val="008803FA"/>
    <w:rsid w:val="008A6DD2"/>
    <w:rsid w:val="008D6D04"/>
    <w:rsid w:val="008F19DE"/>
    <w:rsid w:val="008F7D03"/>
    <w:rsid w:val="00AC1A50"/>
    <w:rsid w:val="00AE48A1"/>
    <w:rsid w:val="00B07834"/>
    <w:rsid w:val="00B12C1B"/>
    <w:rsid w:val="00B12E32"/>
    <w:rsid w:val="00B44421"/>
    <w:rsid w:val="00DB7C2F"/>
    <w:rsid w:val="00E0700F"/>
    <w:rsid w:val="00F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1421BA"/>
    <w:pPr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paragraph" w:styleId="NormalWeb">
    <w:name w:val="Normal (Web)"/>
    <w:basedOn w:val="Normal"/>
    <w:uiPriority w:val="99"/>
    <w:unhideWhenUsed/>
    <w:rsid w:val="00024BD8"/>
    <w:pPr>
      <w:spacing w:before="100" w:beforeAutospacing="1" w:after="100" w:afterAutospacing="1"/>
    </w:pPr>
    <w:rPr>
      <w:lang w:val="en-AU" w:eastAsia="en-GB"/>
    </w:rPr>
  </w:style>
  <w:style w:type="table" w:styleId="TableGrid">
    <w:name w:val="Table Grid"/>
    <w:basedOn w:val="TableNormal"/>
    <w:uiPriority w:val="39"/>
    <w:rsid w:val="00F57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E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7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E5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Reece Jefferies</cp:lastModifiedBy>
  <cp:revision>2</cp:revision>
  <dcterms:created xsi:type="dcterms:W3CDTF">2023-10-17T14:20:00Z</dcterms:created>
  <dcterms:modified xsi:type="dcterms:W3CDTF">2023-10-17T14:20:00Z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