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69FB92" w14:textId="77777777" w:rsidR="00C6574A" w:rsidRPr="001875D3" w:rsidRDefault="00C6574A">
      <w:pPr>
        <w:rPr>
          <w:rFonts w:ascii="Arial" w:hAnsi="Arial" w:cs="Arial"/>
          <w:b/>
          <w:bCs/>
          <w:lang w:val="en-GB"/>
        </w:rPr>
      </w:pPr>
    </w:p>
    <w:p w14:paraId="39EE59FA" w14:textId="7D5EEEF0" w:rsidR="00C6574A" w:rsidRPr="001875D3" w:rsidRDefault="00C6574A" w:rsidP="00C6574A">
      <w:pPr>
        <w:tabs>
          <w:tab w:val="left" w:pos="1101"/>
        </w:tabs>
        <w:rPr>
          <w:rFonts w:ascii="Arial" w:hAnsi="Arial" w:cs="Arial"/>
        </w:rPr>
      </w:pPr>
      <w:r w:rsidRPr="001875D3">
        <w:rPr>
          <w:rFonts w:ascii="Arial" w:hAnsi="Arial" w:cs="Arial"/>
          <w:b/>
          <w:bCs/>
        </w:rPr>
        <w:t>Title</w:t>
      </w:r>
      <w:r>
        <w:rPr>
          <w:rFonts w:ascii="Arial" w:hAnsi="Arial" w:cs="Arial"/>
          <w:b/>
          <w:bCs/>
        </w:rPr>
        <w:t>:</w:t>
      </w:r>
      <w:r w:rsidRPr="001875D3">
        <w:rPr>
          <w:rFonts w:ascii="Arial" w:hAnsi="Arial" w:cs="Arial"/>
          <w:b/>
          <w:bCs/>
        </w:rPr>
        <w:t xml:space="preserve"> </w:t>
      </w:r>
      <w:r w:rsidRPr="001875D3">
        <w:rPr>
          <w:rFonts w:ascii="Arial" w:hAnsi="Arial" w:cs="Arial"/>
          <w:b/>
          <w:bCs/>
          <w:lang w:val="en-US"/>
        </w:rPr>
        <w:t xml:space="preserve">Looking back to move forward: Retrospective audit of inpatient </w:t>
      </w:r>
      <w:proofErr w:type="spellStart"/>
      <w:r w:rsidR="00CD64FB">
        <w:rPr>
          <w:rFonts w:ascii="Arial" w:hAnsi="Arial" w:cs="Arial"/>
          <w:b/>
          <w:bCs/>
          <w:lang w:val="en-US"/>
        </w:rPr>
        <w:t>h</w:t>
      </w:r>
      <w:r w:rsidRPr="001875D3">
        <w:rPr>
          <w:rFonts w:ascii="Arial" w:hAnsi="Arial" w:cs="Arial"/>
          <w:b/>
          <w:bCs/>
          <w:lang w:val="en-US"/>
        </w:rPr>
        <w:t>ypoglyc</w:t>
      </w:r>
      <w:r w:rsidR="00907B66">
        <w:rPr>
          <w:rFonts w:ascii="Arial" w:hAnsi="Arial" w:cs="Arial"/>
          <w:b/>
          <w:bCs/>
          <w:lang w:val="en-US"/>
        </w:rPr>
        <w:t>ae</w:t>
      </w:r>
      <w:r w:rsidRPr="001875D3">
        <w:rPr>
          <w:rFonts w:ascii="Arial" w:hAnsi="Arial" w:cs="Arial"/>
          <w:b/>
          <w:bCs/>
          <w:lang w:val="en-US"/>
        </w:rPr>
        <w:t>mi</w:t>
      </w:r>
      <w:r>
        <w:rPr>
          <w:rFonts w:ascii="Arial" w:hAnsi="Arial" w:cs="Arial"/>
          <w:b/>
          <w:bCs/>
          <w:lang w:val="en-US"/>
        </w:rPr>
        <w:t>a</w:t>
      </w:r>
      <w:proofErr w:type="spellEnd"/>
      <w:r>
        <w:rPr>
          <w:rFonts w:ascii="Arial" w:hAnsi="Arial" w:cs="Arial"/>
          <w:b/>
          <w:bCs/>
          <w:lang w:val="en-US"/>
        </w:rPr>
        <w:t>.</w:t>
      </w:r>
    </w:p>
    <w:p w14:paraId="7852958E" w14:textId="77777777" w:rsidR="00E04564" w:rsidRPr="001875D3" w:rsidRDefault="00E04564" w:rsidP="00E13E88">
      <w:pPr>
        <w:spacing w:before="120"/>
        <w:rPr>
          <w:rFonts w:ascii="Arial" w:hAnsi="Arial" w:cs="Arial"/>
        </w:rPr>
      </w:pPr>
    </w:p>
    <w:p w14:paraId="13404EDE" w14:textId="79DAB7BE" w:rsidR="00E04564" w:rsidRPr="001875D3" w:rsidRDefault="00E04564" w:rsidP="00CD64FB">
      <w:pPr>
        <w:spacing w:before="120" w:after="120"/>
        <w:jc w:val="both"/>
        <w:rPr>
          <w:rFonts w:ascii="Arial" w:hAnsi="Arial" w:cs="Arial"/>
          <w:b/>
          <w:bCs/>
        </w:rPr>
      </w:pPr>
      <w:r w:rsidRPr="001875D3">
        <w:rPr>
          <w:rFonts w:ascii="Arial" w:hAnsi="Arial" w:cs="Arial"/>
          <w:b/>
          <w:bCs/>
        </w:rPr>
        <w:t>Background</w:t>
      </w:r>
      <w:r w:rsidR="00206AEE">
        <w:rPr>
          <w:rFonts w:ascii="Arial" w:hAnsi="Arial" w:cs="Arial"/>
          <w:b/>
          <w:bCs/>
        </w:rPr>
        <w:t>/</w:t>
      </w:r>
      <w:r w:rsidRPr="001875D3">
        <w:rPr>
          <w:rFonts w:ascii="Arial" w:hAnsi="Arial" w:cs="Arial"/>
          <w:b/>
          <w:bCs/>
        </w:rPr>
        <w:t>Aim</w:t>
      </w:r>
    </w:p>
    <w:p w14:paraId="0D8DD7DE" w14:textId="0CE22FD4" w:rsidR="00E04564" w:rsidRDefault="00E04564" w:rsidP="00CD64FB">
      <w:pPr>
        <w:spacing w:before="120" w:after="120"/>
        <w:jc w:val="both"/>
        <w:rPr>
          <w:rFonts w:ascii="Arial" w:hAnsi="Arial" w:cs="Arial"/>
        </w:rPr>
      </w:pPr>
      <w:r w:rsidRPr="00534057">
        <w:rPr>
          <w:rFonts w:ascii="Arial" w:hAnsi="Arial" w:cs="Arial"/>
          <w:lang w:val="en-AU"/>
        </w:rPr>
        <w:t xml:space="preserve">Hypoglycaemia is a serious hospital-acquired complication linked to increased morbidity and costs. This audit </w:t>
      </w:r>
      <w:r w:rsidRPr="00E04564">
        <w:rPr>
          <w:rFonts w:ascii="Arial" w:hAnsi="Arial" w:cs="Arial"/>
        </w:rPr>
        <w:t xml:space="preserve">aimed to examine inpatient hypoglycaemia events to identify contributing factors and inform prevention strategies to reduce recurrence and improve </w:t>
      </w:r>
      <w:r w:rsidR="00C6574A">
        <w:rPr>
          <w:rFonts w:ascii="Arial" w:hAnsi="Arial" w:cs="Arial"/>
        </w:rPr>
        <w:t xml:space="preserve">patient </w:t>
      </w:r>
      <w:r w:rsidRPr="00E04564">
        <w:rPr>
          <w:rFonts w:ascii="Arial" w:hAnsi="Arial" w:cs="Arial"/>
        </w:rPr>
        <w:t>safety and clinical management.</w:t>
      </w:r>
    </w:p>
    <w:p w14:paraId="57ED1B47" w14:textId="1E99CE58" w:rsidR="00E04564" w:rsidRPr="001875D3" w:rsidRDefault="00E04564" w:rsidP="00CD64FB">
      <w:pPr>
        <w:spacing w:before="120" w:after="120"/>
        <w:jc w:val="both"/>
        <w:rPr>
          <w:rFonts w:ascii="Arial" w:hAnsi="Arial" w:cs="Arial"/>
          <w:b/>
          <w:bCs/>
        </w:rPr>
      </w:pPr>
      <w:r w:rsidRPr="001875D3">
        <w:rPr>
          <w:rFonts w:ascii="Arial" w:hAnsi="Arial" w:cs="Arial"/>
          <w:b/>
          <w:bCs/>
        </w:rPr>
        <w:t>Methods</w:t>
      </w:r>
    </w:p>
    <w:p w14:paraId="56BF50AE" w14:textId="631789A8" w:rsidR="00E04564" w:rsidRDefault="00E04564" w:rsidP="00CD64FB">
      <w:pPr>
        <w:spacing w:before="120" w:after="120"/>
        <w:jc w:val="both"/>
        <w:rPr>
          <w:rFonts w:ascii="Arial" w:hAnsi="Arial" w:cs="Arial"/>
        </w:rPr>
      </w:pPr>
      <w:r w:rsidRPr="00E04564">
        <w:rPr>
          <w:rFonts w:ascii="Arial" w:hAnsi="Arial" w:cs="Arial"/>
        </w:rPr>
        <w:t xml:space="preserve">A retrospective audit was conducted on inpatient hypoglycaemia events recorded between December 2023 and December 2024. A total of 156 events </w:t>
      </w:r>
      <w:r>
        <w:rPr>
          <w:rFonts w:ascii="Arial" w:hAnsi="Arial" w:cs="Arial"/>
        </w:rPr>
        <w:t xml:space="preserve">from 147 patients </w:t>
      </w:r>
      <w:r w:rsidRPr="00E04564">
        <w:rPr>
          <w:rFonts w:ascii="Arial" w:hAnsi="Arial" w:cs="Arial"/>
        </w:rPr>
        <w:t>were extracted from the Quality Improvement Data Set</w:t>
      </w:r>
      <w:r w:rsidR="00CD64FB">
        <w:rPr>
          <w:rFonts w:ascii="Arial" w:hAnsi="Arial" w:cs="Arial"/>
        </w:rPr>
        <w:t xml:space="preserve">. </w:t>
      </w:r>
      <w:r w:rsidRPr="00E04564">
        <w:rPr>
          <w:rFonts w:ascii="Arial" w:hAnsi="Arial" w:cs="Arial"/>
        </w:rPr>
        <w:t>Electronic medical records were reviewed to collect data on patient demographics, diabetes medications, endocrinology</w:t>
      </w:r>
      <w:r>
        <w:rPr>
          <w:rFonts w:ascii="Arial" w:hAnsi="Arial" w:cs="Arial"/>
        </w:rPr>
        <w:t xml:space="preserve"> involvement</w:t>
      </w:r>
      <w:r w:rsidRPr="00E04564">
        <w:rPr>
          <w:rFonts w:ascii="Arial" w:hAnsi="Arial" w:cs="Arial"/>
        </w:rPr>
        <w:t xml:space="preserve">, and Yellow Zone Review (YZR) </w:t>
      </w:r>
      <w:r>
        <w:rPr>
          <w:rFonts w:ascii="Arial" w:hAnsi="Arial" w:cs="Arial"/>
        </w:rPr>
        <w:t>activation</w:t>
      </w:r>
      <w:r w:rsidRPr="00E04564">
        <w:rPr>
          <w:rFonts w:ascii="Arial" w:hAnsi="Arial" w:cs="Arial"/>
        </w:rPr>
        <w:t>. De-identified data were analysed for trends and patterns.</w:t>
      </w:r>
    </w:p>
    <w:p w14:paraId="2CA7B9C1" w14:textId="76312758" w:rsidR="00E04564" w:rsidRPr="001875D3" w:rsidRDefault="00E04564" w:rsidP="00CD64FB">
      <w:pPr>
        <w:spacing w:before="120" w:after="120"/>
        <w:jc w:val="both"/>
        <w:rPr>
          <w:rFonts w:ascii="Arial" w:hAnsi="Arial" w:cs="Arial"/>
          <w:b/>
          <w:bCs/>
        </w:rPr>
      </w:pPr>
      <w:r w:rsidRPr="001875D3">
        <w:rPr>
          <w:rFonts w:ascii="Arial" w:hAnsi="Arial" w:cs="Arial"/>
          <w:b/>
          <w:bCs/>
        </w:rPr>
        <w:t xml:space="preserve">Results </w:t>
      </w:r>
    </w:p>
    <w:p w14:paraId="157424BD" w14:textId="0A4E81E8" w:rsidR="00E04564" w:rsidRPr="001875D3" w:rsidRDefault="00E04564" w:rsidP="00CD64FB">
      <w:pPr>
        <w:jc w:val="both"/>
        <w:rPr>
          <w:rFonts w:ascii="Arial" w:hAnsi="Arial" w:cs="Arial"/>
          <w:lang w:val="en-AU"/>
        </w:rPr>
      </w:pPr>
      <w:r w:rsidRPr="00E04564">
        <w:rPr>
          <w:rFonts w:ascii="Arial" w:hAnsi="Arial" w:cs="Arial"/>
        </w:rPr>
        <w:t>The mean age of patients was 73 years (SD 17.2), with 51% female and 66% born outside Australia. Aged Care (21%)</w:t>
      </w:r>
      <w:r w:rsidR="00C6574A">
        <w:rPr>
          <w:rFonts w:ascii="Arial" w:hAnsi="Arial" w:cs="Arial"/>
        </w:rPr>
        <w:t xml:space="preserve"> and</w:t>
      </w:r>
      <w:r w:rsidRPr="00E04564">
        <w:rPr>
          <w:rFonts w:ascii="Arial" w:hAnsi="Arial" w:cs="Arial"/>
        </w:rPr>
        <w:t xml:space="preserve"> Cardiology (13%) were the most frequently involved treating teams</w:t>
      </w:r>
      <w:r>
        <w:rPr>
          <w:rFonts w:ascii="Arial" w:hAnsi="Arial" w:cs="Arial"/>
        </w:rPr>
        <w:t xml:space="preserve"> </w:t>
      </w:r>
      <w:r w:rsidRPr="001875D3">
        <w:rPr>
          <w:rFonts w:ascii="Arial" w:hAnsi="Arial" w:cs="Arial"/>
          <w:lang w:val="en-AU"/>
        </w:rPr>
        <w:t>reflecting both service size and patient complexity.</w:t>
      </w:r>
    </w:p>
    <w:p w14:paraId="6FF54AD2" w14:textId="7FBFFF94" w:rsidR="00E04564" w:rsidRDefault="00E04564" w:rsidP="00CD64FB">
      <w:pPr>
        <w:jc w:val="both"/>
        <w:rPr>
          <w:rFonts w:ascii="Arial" w:hAnsi="Arial" w:cs="Arial"/>
          <w:color w:val="000000" w:themeColor="text1"/>
        </w:rPr>
      </w:pPr>
      <w:r w:rsidRPr="001875D3">
        <w:rPr>
          <w:rFonts w:ascii="Arial" w:hAnsi="Arial" w:cs="Arial"/>
          <w:lang w:val="en-AU"/>
        </w:rPr>
        <w:t xml:space="preserve">Diabetes was present in 86% of patients (T2DM 70%, T1DM 6%, LADA/Other 6%), while 14% had no known diabetes. Most were treated with insulin (67%), </w:t>
      </w:r>
      <w:r>
        <w:rPr>
          <w:rFonts w:ascii="Arial" w:hAnsi="Arial" w:cs="Arial"/>
          <w:lang w:val="en-AU"/>
        </w:rPr>
        <w:t>while</w:t>
      </w:r>
      <w:r w:rsidRPr="001875D3">
        <w:rPr>
          <w:rFonts w:ascii="Arial" w:hAnsi="Arial" w:cs="Arial"/>
          <w:lang w:val="en-AU"/>
        </w:rPr>
        <w:t xml:space="preserve"> 21% were on </w:t>
      </w:r>
      <w:r w:rsidR="00DC6866">
        <w:rPr>
          <w:rFonts w:ascii="Arial" w:hAnsi="Arial" w:cs="Arial"/>
          <w:lang w:val="en-AU"/>
        </w:rPr>
        <w:t xml:space="preserve">a </w:t>
      </w:r>
      <w:r w:rsidR="00E13E88" w:rsidRPr="001875D3">
        <w:rPr>
          <w:rFonts w:ascii="Arial" w:hAnsi="Arial" w:cs="Arial"/>
          <w:lang w:val="en-AU"/>
        </w:rPr>
        <w:t>sulfonylurea</w:t>
      </w:r>
      <w:r w:rsidRPr="001875D3">
        <w:rPr>
          <w:rFonts w:ascii="Arial" w:hAnsi="Arial" w:cs="Arial"/>
          <w:lang w:val="en-AU"/>
        </w:rPr>
        <w:t xml:space="preserve">. </w:t>
      </w:r>
      <w:r>
        <w:rPr>
          <w:rFonts w:ascii="Arial" w:hAnsi="Arial" w:cs="Arial"/>
          <w:lang w:val="en-AU"/>
        </w:rPr>
        <w:t>About</w:t>
      </w:r>
      <w:r w:rsidRPr="001875D3">
        <w:rPr>
          <w:rFonts w:ascii="Arial" w:hAnsi="Arial" w:cs="Arial"/>
          <w:lang w:val="en-AU"/>
        </w:rPr>
        <w:t xml:space="preserve"> half (</w:t>
      </w:r>
      <w:r>
        <w:rPr>
          <w:rFonts w:ascii="Arial" w:hAnsi="Arial" w:cs="Arial"/>
          <w:lang w:val="en-AU"/>
        </w:rPr>
        <w:t>47</w:t>
      </w:r>
      <w:r w:rsidRPr="001875D3">
        <w:rPr>
          <w:rFonts w:ascii="Arial" w:hAnsi="Arial" w:cs="Arial"/>
          <w:lang w:val="en-AU"/>
        </w:rPr>
        <w:t>%) experienced multiple hypoglycaemic episodes, either during a single admission or across multiple encounters</w:t>
      </w:r>
      <w:r w:rsidRPr="001875D3">
        <w:rPr>
          <w:rFonts w:ascii="Arial" w:hAnsi="Arial" w:cs="Arial"/>
          <w:color w:val="FF0000"/>
          <w:lang w:val="en-AU"/>
        </w:rPr>
        <w:t xml:space="preserve">. </w:t>
      </w:r>
      <w:r w:rsidR="00CD64FB">
        <w:rPr>
          <w:rFonts w:ascii="Arial" w:hAnsi="Arial" w:cs="Arial"/>
          <w:lang w:val="en-AU"/>
        </w:rPr>
        <w:t>Sulfonylurea</w:t>
      </w:r>
      <w:r w:rsidR="00C6574A" w:rsidRPr="00E13E88">
        <w:rPr>
          <w:rFonts w:ascii="Arial" w:hAnsi="Arial" w:cs="Arial"/>
          <w:lang w:val="en-AU"/>
        </w:rPr>
        <w:t xml:space="preserve"> and insulin use were higher in those with multiple </w:t>
      </w:r>
      <w:r w:rsidR="00E13E88" w:rsidRPr="00E13E88">
        <w:rPr>
          <w:rFonts w:ascii="Arial" w:hAnsi="Arial" w:cs="Arial"/>
          <w:lang w:val="en-AU"/>
        </w:rPr>
        <w:t>hypoglycaemic event</w:t>
      </w:r>
      <w:r w:rsidR="00E13E88">
        <w:rPr>
          <w:rFonts w:ascii="Arial" w:hAnsi="Arial" w:cs="Arial"/>
          <w:lang w:val="en-AU"/>
        </w:rPr>
        <w:t>s</w:t>
      </w:r>
      <w:r w:rsidR="00CD64FB">
        <w:rPr>
          <w:rFonts w:ascii="Arial" w:hAnsi="Arial" w:cs="Arial"/>
          <w:lang w:val="en-AU"/>
        </w:rPr>
        <w:t xml:space="preserve"> (P&lt;0.05)</w:t>
      </w:r>
      <w:r w:rsidR="00E13E88">
        <w:rPr>
          <w:rFonts w:ascii="Arial" w:hAnsi="Arial" w:cs="Arial"/>
          <w:lang w:val="en-AU"/>
        </w:rPr>
        <w:t xml:space="preserve">. </w:t>
      </w:r>
      <w:r w:rsidRPr="00E04564">
        <w:rPr>
          <w:rFonts w:ascii="Arial" w:hAnsi="Arial" w:cs="Arial"/>
          <w:color w:val="000000" w:themeColor="text1"/>
        </w:rPr>
        <w:t xml:space="preserve">YZR was activated in 81% of cases, with one event lacking documentation. </w:t>
      </w:r>
    </w:p>
    <w:p w14:paraId="053547C8" w14:textId="03BCDBE9" w:rsidR="00E04564" w:rsidRPr="001875D3" w:rsidRDefault="00E04564" w:rsidP="00CD64FB">
      <w:pPr>
        <w:jc w:val="both"/>
        <w:rPr>
          <w:rFonts w:ascii="Arial" w:hAnsi="Arial" w:cs="Arial"/>
          <w:lang w:val="en-US"/>
        </w:rPr>
      </w:pPr>
      <w:r w:rsidRPr="00E04564">
        <w:rPr>
          <w:rFonts w:ascii="Arial" w:hAnsi="Arial" w:cs="Arial"/>
          <w:color w:val="000000" w:themeColor="text1"/>
        </w:rPr>
        <w:t>Endocrinology input occurred in 47% of cases, though rates varied widely across specialties</w:t>
      </w:r>
      <w:r w:rsidR="00C6574A">
        <w:rPr>
          <w:rFonts w:ascii="Arial" w:hAnsi="Arial" w:cs="Arial"/>
          <w:color w:val="000000" w:themeColor="text1"/>
        </w:rPr>
        <w:t xml:space="preserve"> and often occurred after the event</w:t>
      </w:r>
      <w:r w:rsidRPr="00E04564">
        <w:rPr>
          <w:rFonts w:ascii="Arial" w:hAnsi="Arial" w:cs="Arial"/>
          <w:color w:val="000000" w:themeColor="text1"/>
        </w:rPr>
        <w:t>. Over half of patients had moderate to severe chronic kidney disease, with 23% having an eGFR&lt;30 and 30% between 30–59.</w:t>
      </w:r>
    </w:p>
    <w:p w14:paraId="680F7675" w14:textId="77777777" w:rsidR="00E04564" w:rsidRPr="001875D3" w:rsidRDefault="00E04564" w:rsidP="00CD64FB">
      <w:pPr>
        <w:spacing w:before="120" w:after="120"/>
        <w:jc w:val="both"/>
        <w:rPr>
          <w:rFonts w:ascii="Arial" w:hAnsi="Arial" w:cs="Arial"/>
          <w:b/>
          <w:bCs/>
        </w:rPr>
      </w:pPr>
      <w:r w:rsidRPr="001875D3">
        <w:rPr>
          <w:rFonts w:ascii="Arial" w:hAnsi="Arial" w:cs="Arial"/>
          <w:b/>
          <w:bCs/>
        </w:rPr>
        <w:t>Discussion/Conclusion</w:t>
      </w:r>
    </w:p>
    <w:p w14:paraId="34404630" w14:textId="7F4D38F5" w:rsidR="00E04564" w:rsidRPr="001875D3" w:rsidRDefault="00E04564" w:rsidP="00CD64FB">
      <w:pPr>
        <w:tabs>
          <w:tab w:val="left" w:pos="1101"/>
        </w:tabs>
        <w:spacing w:before="120" w:after="120"/>
        <w:jc w:val="both"/>
        <w:rPr>
          <w:rFonts w:ascii="Arial" w:hAnsi="Arial" w:cs="Arial"/>
        </w:rPr>
      </w:pPr>
      <w:r w:rsidRPr="00E13E88">
        <w:rPr>
          <w:rFonts w:ascii="Arial" w:hAnsi="Arial" w:cs="Arial"/>
        </w:rPr>
        <w:t>Hypoglycaemia remains a frequent and preventable complication, especially in older patients with renal impairment and those on insulin or sulfonylurea. These findings support the need for safer prescribing, consistent escalation, and earlier</w:t>
      </w:r>
      <w:r>
        <w:rPr>
          <w:rFonts w:ascii="Arial" w:hAnsi="Arial" w:cs="Arial"/>
        </w:rPr>
        <w:t xml:space="preserve"> </w:t>
      </w:r>
      <w:r w:rsidRPr="00E04564">
        <w:rPr>
          <w:rFonts w:ascii="Arial" w:hAnsi="Arial" w:cs="Arial"/>
        </w:rPr>
        <w:t>endocrinology</w:t>
      </w:r>
      <w:r w:rsidRPr="001875D3">
        <w:rPr>
          <w:rFonts w:ascii="Arial" w:hAnsi="Arial" w:cs="Arial"/>
        </w:rPr>
        <w:t xml:space="preserve"> involvement</w:t>
      </w:r>
      <w:r>
        <w:rPr>
          <w:rFonts w:ascii="Arial" w:hAnsi="Arial" w:cs="Arial"/>
        </w:rPr>
        <w:t>.</w:t>
      </w:r>
      <w:r w:rsidR="00C6574A">
        <w:rPr>
          <w:rFonts w:ascii="Arial" w:hAnsi="Arial" w:cs="Arial"/>
        </w:rPr>
        <w:t xml:space="preserve"> Targeted education to specific admitting teams may be worthwhile.</w:t>
      </w:r>
    </w:p>
    <w:p w14:paraId="322F27A1" w14:textId="1E2807BC" w:rsidR="001C4412" w:rsidRPr="001875D3" w:rsidRDefault="001C4412">
      <w:pPr>
        <w:rPr>
          <w:rFonts w:ascii="Arial" w:hAnsi="Arial" w:cs="Arial"/>
          <w:lang w:val="en-GB"/>
        </w:rPr>
      </w:pPr>
    </w:p>
    <w:sectPr w:rsidR="001C4412" w:rsidRPr="001875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tlas Grotesk Regular">
    <w:altName w:val="Calibri"/>
    <w:charset w:val="00"/>
    <w:family w:val="modern"/>
    <w:pitch w:val="variable"/>
    <w:sig w:usb0="00000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412"/>
    <w:rsid w:val="00022260"/>
    <w:rsid w:val="0006021A"/>
    <w:rsid w:val="000D260B"/>
    <w:rsid w:val="000D3BBE"/>
    <w:rsid w:val="000E40AA"/>
    <w:rsid w:val="0013083B"/>
    <w:rsid w:val="00140E84"/>
    <w:rsid w:val="0018055C"/>
    <w:rsid w:val="001875D3"/>
    <w:rsid w:val="001C0319"/>
    <w:rsid w:val="001C4412"/>
    <w:rsid w:val="001D6154"/>
    <w:rsid w:val="002061ED"/>
    <w:rsid w:val="00206AEE"/>
    <w:rsid w:val="00213825"/>
    <w:rsid w:val="00243401"/>
    <w:rsid w:val="00244A86"/>
    <w:rsid w:val="002B3F9D"/>
    <w:rsid w:val="002E3078"/>
    <w:rsid w:val="00354A53"/>
    <w:rsid w:val="00404ABF"/>
    <w:rsid w:val="00435849"/>
    <w:rsid w:val="0046117A"/>
    <w:rsid w:val="00482025"/>
    <w:rsid w:val="004A2636"/>
    <w:rsid w:val="005248E7"/>
    <w:rsid w:val="00534057"/>
    <w:rsid w:val="00571897"/>
    <w:rsid w:val="005A01AA"/>
    <w:rsid w:val="005C48A6"/>
    <w:rsid w:val="005C6AA0"/>
    <w:rsid w:val="006139C0"/>
    <w:rsid w:val="00635AAB"/>
    <w:rsid w:val="006A0DBA"/>
    <w:rsid w:val="006C2800"/>
    <w:rsid w:val="006E002D"/>
    <w:rsid w:val="0070144D"/>
    <w:rsid w:val="007042D2"/>
    <w:rsid w:val="007A0C78"/>
    <w:rsid w:val="00805817"/>
    <w:rsid w:val="00806F29"/>
    <w:rsid w:val="00843464"/>
    <w:rsid w:val="0084569B"/>
    <w:rsid w:val="00854BAA"/>
    <w:rsid w:val="00876992"/>
    <w:rsid w:val="008869D9"/>
    <w:rsid w:val="008C6DB4"/>
    <w:rsid w:val="008D3BEC"/>
    <w:rsid w:val="00903006"/>
    <w:rsid w:val="00907B66"/>
    <w:rsid w:val="00913827"/>
    <w:rsid w:val="009148AF"/>
    <w:rsid w:val="00923E5D"/>
    <w:rsid w:val="009329D6"/>
    <w:rsid w:val="00946EC5"/>
    <w:rsid w:val="00956982"/>
    <w:rsid w:val="009B53FE"/>
    <w:rsid w:val="009C2922"/>
    <w:rsid w:val="009C2934"/>
    <w:rsid w:val="009D00EC"/>
    <w:rsid w:val="009E2645"/>
    <w:rsid w:val="00A12EE1"/>
    <w:rsid w:val="00A157DF"/>
    <w:rsid w:val="00A2679D"/>
    <w:rsid w:val="00A37AE7"/>
    <w:rsid w:val="00A45CD4"/>
    <w:rsid w:val="00A65798"/>
    <w:rsid w:val="00A936E3"/>
    <w:rsid w:val="00AD2BBD"/>
    <w:rsid w:val="00B17FCA"/>
    <w:rsid w:val="00B62AFE"/>
    <w:rsid w:val="00BC4791"/>
    <w:rsid w:val="00C104CC"/>
    <w:rsid w:val="00C2679C"/>
    <w:rsid w:val="00C35022"/>
    <w:rsid w:val="00C475E0"/>
    <w:rsid w:val="00C6574A"/>
    <w:rsid w:val="00CA1683"/>
    <w:rsid w:val="00CB335E"/>
    <w:rsid w:val="00CC5D83"/>
    <w:rsid w:val="00CD4EC6"/>
    <w:rsid w:val="00CD64FB"/>
    <w:rsid w:val="00D02C2E"/>
    <w:rsid w:val="00D43F56"/>
    <w:rsid w:val="00D45E22"/>
    <w:rsid w:val="00D72963"/>
    <w:rsid w:val="00DA231D"/>
    <w:rsid w:val="00DA65C9"/>
    <w:rsid w:val="00DC6866"/>
    <w:rsid w:val="00DD3FF8"/>
    <w:rsid w:val="00DE6687"/>
    <w:rsid w:val="00E04564"/>
    <w:rsid w:val="00E0467E"/>
    <w:rsid w:val="00E105B9"/>
    <w:rsid w:val="00E13E88"/>
    <w:rsid w:val="00E46967"/>
    <w:rsid w:val="00E65803"/>
    <w:rsid w:val="00E8470D"/>
    <w:rsid w:val="00EA4A12"/>
    <w:rsid w:val="00EB2E8D"/>
    <w:rsid w:val="00EC0F3D"/>
    <w:rsid w:val="00ED001C"/>
    <w:rsid w:val="00ED6B9A"/>
    <w:rsid w:val="00F22E5D"/>
    <w:rsid w:val="00F7790C"/>
    <w:rsid w:val="00F919DF"/>
    <w:rsid w:val="00FA79A0"/>
    <w:rsid w:val="00FE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F9DAE"/>
  <w15:chartTrackingRefBased/>
  <w15:docId w15:val="{506D9466-454B-4A27-A49A-381336651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tlas Grotesk Regular" w:eastAsiaTheme="minorHAnsi" w:hAnsi="Atlas Grotesk Regular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412"/>
  </w:style>
  <w:style w:type="paragraph" w:styleId="Heading1">
    <w:name w:val="heading 1"/>
    <w:basedOn w:val="Normal"/>
    <w:next w:val="Normal"/>
    <w:link w:val="Heading1Char"/>
    <w:uiPriority w:val="9"/>
    <w:qFormat/>
    <w:rsid w:val="001C44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44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441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441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441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441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441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441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441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44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44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441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441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441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441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441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441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441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44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44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441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441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44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44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44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44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44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44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441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C4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E2645"/>
  </w:style>
  <w:style w:type="character" w:styleId="CommentReference">
    <w:name w:val="annotation reference"/>
    <w:basedOn w:val="DefaultParagraphFont"/>
    <w:uiPriority w:val="99"/>
    <w:semiHidden/>
    <w:unhideWhenUsed/>
    <w:rsid w:val="00D45E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5E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5E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5E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5E2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6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BBD093-B476-4651-92E2-085A4BCA4E11}">
  <ds:schemaRefs>
    <ds:schemaRef ds:uri="http://purl.org/dc/dcmitype/"/>
    <ds:schemaRef ds:uri="9c8a2b7b-0bee-4c48-b0a6-23db8982d3bc"/>
    <ds:schemaRef ds:uri="http://schemas.microsoft.com/office/2006/metadata/properties"/>
    <ds:schemaRef ds:uri="cab52c9b-ab33-4221-8af9-54f8f2b86a80"/>
    <ds:schemaRef ds:uri="http://schemas.microsoft.com/office/2006/documentManagement/types"/>
    <ds:schemaRef ds:uri="http://purl.org/dc/terms/"/>
    <ds:schemaRef ds:uri="http://purl.org/dc/elements/1.1/"/>
    <ds:schemaRef ds:uri="6911e96c-4cc4-42d5-8e43-f93924cf6a05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B7421C9-4BAB-4EB2-AA1C-991F2DAAF0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671721-F1DD-445F-BE95-DE3A95489B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Mulrennan</dc:creator>
  <cp:keywords/>
  <dc:description/>
  <cp:lastModifiedBy>Kelly Borja</cp:lastModifiedBy>
  <cp:revision>2</cp:revision>
  <cp:lastPrinted>2025-05-19T04:03:00Z</cp:lastPrinted>
  <dcterms:created xsi:type="dcterms:W3CDTF">2025-05-27T19:56:00Z</dcterms:created>
  <dcterms:modified xsi:type="dcterms:W3CDTF">2025-05-27T19:56:00Z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