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8058" w14:textId="77777777" w:rsidR="00713475" w:rsidRDefault="00713475" w:rsidP="0071347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5383AC6D" w14:textId="77777777" w:rsidR="00713475" w:rsidRDefault="00713475" w:rsidP="0071347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48EE7DC5" w14:textId="66408037" w:rsidR="00D9148B" w:rsidRPr="00713475" w:rsidRDefault="00D9148B" w:rsidP="0071347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713475">
        <w:rPr>
          <w:rFonts w:ascii="Arial" w:hAnsi="Arial" w:cs="Arial"/>
          <w:b/>
          <w:bCs/>
          <w:sz w:val="22"/>
          <w:szCs w:val="22"/>
        </w:rPr>
        <w:t>Impact of timely expert advice on diabetes management in primary care: The Diabetes WA Connect Service</w:t>
      </w:r>
    </w:p>
    <w:p w14:paraId="7F3085C3" w14:textId="5FFFBD05" w:rsidR="00D9148B" w:rsidRPr="00713475" w:rsidRDefault="00D9148B" w:rsidP="0071347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713475">
        <w:rPr>
          <w:rFonts w:ascii="Arial" w:hAnsi="Arial" w:cs="Arial"/>
          <w:b/>
          <w:bCs/>
          <w:sz w:val="22"/>
          <w:szCs w:val="22"/>
        </w:rPr>
        <w:t>Background &amp; Aim:</w:t>
      </w:r>
    </w:p>
    <w:p w14:paraId="1A77C12C" w14:textId="4CD996B9" w:rsidR="00D9148B" w:rsidRPr="00713475" w:rsidRDefault="00D9148B" w:rsidP="0071347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713475">
        <w:rPr>
          <w:rFonts w:ascii="Arial" w:hAnsi="Arial" w:cs="Arial"/>
          <w:sz w:val="22"/>
          <w:szCs w:val="22"/>
        </w:rPr>
        <w:t>General practice (GP) plays a central role in coordinating</w:t>
      </w:r>
      <w:r w:rsidR="00F6555C" w:rsidRPr="00713475">
        <w:rPr>
          <w:rFonts w:ascii="Arial" w:hAnsi="Arial" w:cs="Arial"/>
          <w:sz w:val="22"/>
          <w:szCs w:val="22"/>
        </w:rPr>
        <w:t xml:space="preserve"> and delivering</w:t>
      </w:r>
      <w:r w:rsidRPr="00713475">
        <w:rPr>
          <w:rFonts w:ascii="Arial" w:hAnsi="Arial" w:cs="Arial"/>
          <w:sz w:val="22"/>
          <w:szCs w:val="22"/>
        </w:rPr>
        <w:t xml:space="preserve"> healthcare in Australia</w:t>
      </w:r>
      <w:r w:rsidR="0045604A" w:rsidRPr="00713475">
        <w:rPr>
          <w:rFonts w:ascii="Arial" w:hAnsi="Arial" w:cs="Arial"/>
          <w:sz w:val="22"/>
          <w:szCs w:val="22"/>
        </w:rPr>
        <w:t>.</w:t>
      </w:r>
      <w:r w:rsidRPr="00713475">
        <w:rPr>
          <w:rFonts w:ascii="Arial" w:hAnsi="Arial" w:cs="Arial"/>
          <w:sz w:val="22"/>
          <w:szCs w:val="22"/>
        </w:rPr>
        <w:t xml:space="preserve"> </w:t>
      </w:r>
      <w:r w:rsidR="0045604A" w:rsidRPr="00713475">
        <w:rPr>
          <w:rFonts w:ascii="Arial" w:hAnsi="Arial" w:cs="Arial"/>
          <w:sz w:val="22"/>
          <w:szCs w:val="22"/>
        </w:rPr>
        <w:t>However,</w:t>
      </w:r>
      <w:r w:rsidRPr="00713475">
        <w:rPr>
          <w:rFonts w:ascii="Arial" w:hAnsi="Arial" w:cs="Arial"/>
          <w:sz w:val="22"/>
          <w:szCs w:val="22"/>
        </w:rPr>
        <w:t xml:space="preserve"> growing complexity of diabetes care—driven by an expanding evidence base, rising multimorbidity, and limited access to specialist services</w:t>
      </w:r>
      <w:r w:rsidR="00F6555C" w:rsidRPr="00713475">
        <w:rPr>
          <w:rFonts w:ascii="Arial" w:hAnsi="Arial" w:cs="Arial"/>
          <w:sz w:val="22"/>
          <w:szCs w:val="22"/>
        </w:rPr>
        <w:t xml:space="preserve"> </w:t>
      </w:r>
      <w:r w:rsidRPr="00713475">
        <w:rPr>
          <w:rFonts w:ascii="Arial" w:hAnsi="Arial" w:cs="Arial"/>
          <w:sz w:val="22"/>
          <w:szCs w:val="22"/>
        </w:rPr>
        <w:t>—creates challenges</w:t>
      </w:r>
      <w:r w:rsidR="0045604A" w:rsidRPr="00713475">
        <w:rPr>
          <w:rFonts w:ascii="Arial" w:hAnsi="Arial" w:cs="Arial"/>
          <w:sz w:val="22"/>
          <w:szCs w:val="22"/>
        </w:rPr>
        <w:t xml:space="preserve"> which</w:t>
      </w:r>
      <w:r w:rsidRPr="00713475">
        <w:rPr>
          <w:rFonts w:ascii="Arial" w:hAnsi="Arial" w:cs="Arial"/>
          <w:sz w:val="22"/>
          <w:szCs w:val="22"/>
        </w:rPr>
        <w:t xml:space="preserve"> contribute to delay</w:t>
      </w:r>
      <w:r w:rsidR="00FC36D5" w:rsidRPr="00713475">
        <w:rPr>
          <w:rFonts w:ascii="Arial" w:hAnsi="Arial" w:cs="Arial"/>
          <w:sz w:val="22"/>
          <w:szCs w:val="22"/>
        </w:rPr>
        <w:t>ed</w:t>
      </w:r>
      <w:r w:rsidRPr="00713475">
        <w:rPr>
          <w:rFonts w:ascii="Arial" w:hAnsi="Arial" w:cs="Arial"/>
          <w:sz w:val="22"/>
          <w:szCs w:val="22"/>
        </w:rPr>
        <w:t xml:space="preserve"> </w:t>
      </w:r>
      <w:r w:rsidR="00FC36D5" w:rsidRPr="00713475">
        <w:rPr>
          <w:rFonts w:ascii="Arial" w:hAnsi="Arial" w:cs="Arial"/>
          <w:sz w:val="22"/>
          <w:szCs w:val="22"/>
        </w:rPr>
        <w:t>or</w:t>
      </w:r>
      <w:r w:rsidRPr="00713475">
        <w:rPr>
          <w:rFonts w:ascii="Arial" w:hAnsi="Arial" w:cs="Arial"/>
          <w:sz w:val="22"/>
          <w:szCs w:val="22"/>
        </w:rPr>
        <w:t xml:space="preserve"> suboptimal management. The “Diabetes WA Connect” service was established to provide</w:t>
      </w:r>
      <w:r w:rsidR="00FC36D5" w:rsidRPr="00713475">
        <w:rPr>
          <w:rFonts w:ascii="Arial" w:hAnsi="Arial" w:cs="Arial"/>
          <w:sz w:val="22"/>
          <w:szCs w:val="22"/>
        </w:rPr>
        <w:t xml:space="preserve"> GPs with</w:t>
      </w:r>
      <w:r w:rsidRPr="00713475">
        <w:rPr>
          <w:rFonts w:ascii="Arial" w:hAnsi="Arial" w:cs="Arial"/>
          <w:sz w:val="22"/>
          <w:szCs w:val="22"/>
        </w:rPr>
        <w:t xml:space="preserve"> timely access to an endocrinologist and diabetes educator for case</w:t>
      </w:r>
      <w:r w:rsidR="00FC36D5" w:rsidRPr="00713475">
        <w:rPr>
          <w:rFonts w:ascii="Arial" w:hAnsi="Arial" w:cs="Arial"/>
          <w:sz w:val="22"/>
          <w:szCs w:val="22"/>
        </w:rPr>
        <w:t xml:space="preserve"> </w:t>
      </w:r>
      <w:r w:rsidRPr="00713475">
        <w:rPr>
          <w:rFonts w:ascii="Arial" w:hAnsi="Arial" w:cs="Arial"/>
          <w:sz w:val="22"/>
          <w:szCs w:val="22"/>
        </w:rPr>
        <w:t>discussion or multidisciplinary team (MDT) conferences</w:t>
      </w:r>
      <w:r w:rsidR="00FC36D5" w:rsidRPr="00713475">
        <w:rPr>
          <w:rFonts w:ascii="Arial" w:hAnsi="Arial" w:cs="Arial"/>
          <w:sz w:val="22"/>
          <w:szCs w:val="22"/>
        </w:rPr>
        <w:t>. This</w:t>
      </w:r>
      <w:r w:rsidRPr="00713475">
        <w:rPr>
          <w:rFonts w:ascii="Arial" w:hAnsi="Arial" w:cs="Arial"/>
          <w:sz w:val="22"/>
          <w:szCs w:val="22"/>
        </w:rPr>
        <w:t xml:space="preserve"> offer</w:t>
      </w:r>
      <w:r w:rsidR="00FC36D5" w:rsidRPr="00713475">
        <w:rPr>
          <w:rFonts w:ascii="Arial" w:hAnsi="Arial" w:cs="Arial"/>
          <w:sz w:val="22"/>
          <w:szCs w:val="22"/>
        </w:rPr>
        <w:t>s</w:t>
      </w:r>
      <w:r w:rsidRPr="00713475">
        <w:rPr>
          <w:rFonts w:ascii="Arial" w:hAnsi="Arial" w:cs="Arial"/>
          <w:sz w:val="22"/>
          <w:szCs w:val="22"/>
        </w:rPr>
        <w:t xml:space="preserve"> an alternative pathway to referral for patient</w:t>
      </w:r>
      <w:r w:rsidRPr="00713475">
        <w:rPr>
          <w:rFonts w:ascii="Arial" w:hAnsi="Arial" w:cs="Arial"/>
          <w:sz w:val="22"/>
          <w:szCs w:val="22"/>
        </w:rPr>
        <w:noBreakHyphen/>
        <w:t xml:space="preserve">facing specialist </w:t>
      </w:r>
      <w:r w:rsidR="00FC36D5" w:rsidRPr="00713475">
        <w:rPr>
          <w:rFonts w:ascii="Arial" w:hAnsi="Arial" w:cs="Arial"/>
          <w:sz w:val="22"/>
          <w:szCs w:val="22"/>
        </w:rPr>
        <w:t>care, particularly for those living in rural areas.</w:t>
      </w:r>
    </w:p>
    <w:p w14:paraId="28A3140E" w14:textId="77777777" w:rsidR="00D9148B" w:rsidRPr="00713475" w:rsidRDefault="00D9148B" w:rsidP="0071347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713475">
        <w:rPr>
          <w:rFonts w:ascii="Arial" w:hAnsi="Arial" w:cs="Arial"/>
          <w:b/>
          <w:bCs/>
          <w:sz w:val="22"/>
          <w:szCs w:val="22"/>
        </w:rPr>
        <w:t>Methods:</w:t>
      </w:r>
    </w:p>
    <w:p w14:paraId="7F3A7B43" w14:textId="250F0904" w:rsidR="00D9148B" w:rsidRPr="00713475" w:rsidRDefault="00D9148B" w:rsidP="0071347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713475">
        <w:rPr>
          <w:rFonts w:ascii="Arial" w:hAnsi="Arial" w:cs="Arial"/>
          <w:sz w:val="22"/>
          <w:szCs w:val="22"/>
        </w:rPr>
        <w:t>The service was launched in November 2024 as a pilot across non</w:t>
      </w:r>
      <w:r w:rsidRPr="00713475">
        <w:rPr>
          <w:rFonts w:ascii="Arial" w:hAnsi="Arial" w:cs="Arial"/>
          <w:sz w:val="22"/>
          <w:szCs w:val="22"/>
        </w:rPr>
        <w:noBreakHyphen/>
        <w:t>metropolitan WA primary health regions. GPs can initiate ad</w:t>
      </w:r>
      <w:r w:rsidRPr="00713475">
        <w:rPr>
          <w:rFonts w:ascii="Arial" w:hAnsi="Arial" w:cs="Arial"/>
          <w:sz w:val="22"/>
          <w:szCs w:val="22"/>
        </w:rPr>
        <w:noBreakHyphen/>
        <w:t>hoc or schedule</w:t>
      </w:r>
      <w:r w:rsidR="0045604A" w:rsidRPr="00713475">
        <w:rPr>
          <w:rFonts w:ascii="Arial" w:hAnsi="Arial" w:cs="Arial"/>
          <w:sz w:val="22"/>
          <w:szCs w:val="22"/>
        </w:rPr>
        <w:t>d</w:t>
      </w:r>
      <w:r w:rsidRPr="00713475">
        <w:rPr>
          <w:rFonts w:ascii="Arial" w:hAnsi="Arial" w:cs="Arial"/>
          <w:sz w:val="22"/>
          <w:szCs w:val="22"/>
        </w:rPr>
        <w:t xml:space="preserve"> </w:t>
      </w:r>
      <w:r w:rsidR="0045604A" w:rsidRPr="00713475">
        <w:rPr>
          <w:rFonts w:ascii="Arial" w:hAnsi="Arial" w:cs="Arial"/>
          <w:sz w:val="22"/>
          <w:szCs w:val="22"/>
        </w:rPr>
        <w:t>sessions</w:t>
      </w:r>
      <w:r w:rsidRPr="00713475">
        <w:rPr>
          <w:rFonts w:ascii="Arial" w:hAnsi="Arial" w:cs="Arial"/>
          <w:sz w:val="22"/>
          <w:szCs w:val="22"/>
        </w:rPr>
        <w:t>. After each interaction, consenting clinicians receive an electronic survey assessing perceived clinical value and professional impact.</w:t>
      </w:r>
    </w:p>
    <w:p w14:paraId="5E25B8A0" w14:textId="77777777" w:rsidR="00D9148B" w:rsidRPr="00713475" w:rsidRDefault="00D9148B" w:rsidP="0071347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713475">
        <w:rPr>
          <w:rFonts w:ascii="Arial" w:hAnsi="Arial" w:cs="Arial"/>
          <w:b/>
          <w:bCs/>
          <w:sz w:val="22"/>
          <w:szCs w:val="22"/>
        </w:rPr>
        <w:t>Results:</w:t>
      </w:r>
    </w:p>
    <w:p w14:paraId="0197C815" w14:textId="6AD821B7" w:rsidR="00D9148B" w:rsidRPr="00713475" w:rsidRDefault="00D9148B" w:rsidP="0071347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713475">
        <w:rPr>
          <w:rFonts w:ascii="Arial" w:hAnsi="Arial" w:cs="Arial"/>
          <w:sz w:val="22"/>
          <w:szCs w:val="22"/>
        </w:rPr>
        <w:t>Between November 2024 and December 2025, 308 interactions occurred: 164 GP case discussions (53%) and 144 MDT conferences (47%). Use was documented across all</w:t>
      </w:r>
      <w:r w:rsidR="00F6555C" w:rsidRPr="00713475">
        <w:rPr>
          <w:rFonts w:ascii="Arial" w:hAnsi="Arial" w:cs="Arial"/>
          <w:sz w:val="22"/>
          <w:szCs w:val="22"/>
        </w:rPr>
        <w:t xml:space="preserve"> eligible</w:t>
      </w:r>
      <w:r w:rsidRPr="00713475">
        <w:rPr>
          <w:rFonts w:ascii="Arial" w:hAnsi="Arial" w:cs="Arial"/>
          <w:sz w:val="22"/>
          <w:szCs w:val="22"/>
        </w:rPr>
        <w:t xml:space="preserve"> WA regions, with </w:t>
      </w:r>
      <w:r w:rsidR="00BC7AF6" w:rsidRPr="00713475">
        <w:rPr>
          <w:rFonts w:ascii="Arial" w:hAnsi="Arial" w:cs="Arial"/>
          <w:sz w:val="22"/>
          <w:szCs w:val="22"/>
        </w:rPr>
        <w:t>greatest</w:t>
      </w:r>
      <w:r w:rsidRPr="00713475">
        <w:rPr>
          <w:rFonts w:ascii="Arial" w:hAnsi="Arial" w:cs="Arial"/>
          <w:sz w:val="22"/>
          <w:szCs w:val="22"/>
        </w:rPr>
        <w:t xml:space="preserve"> uptake in the </w:t>
      </w:r>
      <w:r w:rsidR="00F6555C" w:rsidRPr="00713475">
        <w:rPr>
          <w:rFonts w:ascii="Arial" w:hAnsi="Arial" w:cs="Arial"/>
          <w:sz w:val="22"/>
          <w:szCs w:val="22"/>
        </w:rPr>
        <w:t>Southwest</w:t>
      </w:r>
      <w:r w:rsidRPr="00713475">
        <w:rPr>
          <w:rFonts w:ascii="Arial" w:hAnsi="Arial" w:cs="Arial"/>
          <w:sz w:val="22"/>
          <w:szCs w:val="22"/>
        </w:rPr>
        <w:t xml:space="preserve"> </w:t>
      </w:r>
      <w:r w:rsidR="00F6555C" w:rsidRPr="00713475">
        <w:rPr>
          <w:rFonts w:ascii="Arial" w:hAnsi="Arial" w:cs="Arial"/>
          <w:sz w:val="22"/>
          <w:szCs w:val="22"/>
        </w:rPr>
        <w:t xml:space="preserve">region </w:t>
      </w:r>
      <w:r w:rsidRPr="00713475">
        <w:rPr>
          <w:rFonts w:ascii="Arial" w:hAnsi="Arial" w:cs="Arial"/>
          <w:sz w:val="22"/>
          <w:szCs w:val="22"/>
        </w:rPr>
        <w:t>(52%). Most enquiries involved Type 2 diabetes (70%). Fifty</w:t>
      </w:r>
      <w:r w:rsidRPr="00713475">
        <w:rPr>
          <w:rFonts w:ascii="Arial" w:hAnsi="Arial" w:cs="Arial"/>
          <w:sz w:val="22"/>
          <w:szCs w:val="22"/>
        </w:rPr>
        <w:noBreakHyphen/>
        <w:t>five evaluation surveys were completed (18% response rate). Regarding clinical decision</w:t>
      </w:r>
      <w:r w:rsidRPr="00713475">
        <w:rPr>
          <w:rFonts w:ascii="Arial" w:hAnsi="Arial" w:cs="Arial"/>
          <w:sz w:val="22"/>
          <w:szCs w:val="22"/>
        </w:rPr>
        <w:noBreakHyphen/>
        <w:t xml:space="preserve">making, 38% of interactions validated the GP’s initial plan, 46% resulted in a management change, 15% highlighted the need for further </w:t>
      </w:r>
      <w:r w:rsidR="00F6555C" w:rsidRPr="00713475">
        <w:rPr>
          <w:rFonts w:ascii="Arial" w:hAnsi="Arial" w:cs="Arial"/>
          <w:sz w:val="22"/>
          <w:szCs w:val="22"/>
        </w:rPr>
        <w:t xml:space="preserve">enquiry or more </w:t>
      </w:r>
      <w:r w:rsidRPr="00713475">
        <w:rPr>
          <w:rFonts w:ascii="Arial" w:hAnsi="Arial" w:cs="Arial"/>
          <w:sz w:val="22"/>
          <w:szCs w:val="22"/>
        </w:rPr>
        <w:t>information, and 2% redirected care to alternative services. Reported professional development benefits (multiple responses allowed) included increased confidence (71%), improved diabetes knowledge and skills (65%), enhanced appreciation of team</w:t>
      </w:r>
      <w:r w:rsidRPr="00713475">
        <w:rPr>
          <w:rFonts w:ascii="Arial" w:hAnsi="Arial" w:cs="Arial"/>
          <w:sz w:val="22"/>
          <w:szCs w:val="22"/>
        </w:rPr>
        <w:noBreakHyphen/>
        <w:t>based care (67%), and fundamental change in practice (7%). The net promoter score was 94.55. At least 43 potential outpatient referrals were avoided or withdrawn.</w:t>
      </w:r>
    </w:p>
    <w:p w14:paraId="7ED22C70" w14:textId="77777777" w:rsidR="00D9148B" w:rsidRPr="00713475" w:rsidRDefault="00D9148B" w:rsidP="0071347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713475">
        <w:rPr>
          <w:rFonts w:ascii="Arial" w:hAnsi="Arial" w:cs="Arial"/>
          <w:b/>
          <w:bCs/>
          <w:sz w:val="22"/>
          <w:szCs w:val="22"/>
        </w:rPr>
        <w:t>Discussion / Conclusion:</w:t>
      </w:r>
    </w:p>
    <w:p w14:paraId="36E38228" w14:textId="53C44F76" w:rsidR="00D9148B" w:rsidRPr="00713475" w:rsidRDefault="00D9148B" w:rsidP="0071347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713475">
        <w:rPr>
          <w:rFonts w:ascii="Arial" w:hAnsi="Arial" w:cs="Arial"/>
          <w:sz w:val="22"/>
          <w:szCs w:val="22"/>
        </w:rPr>
        <w:t>GPs value timely specialist input and MDT collaboration for improving confidence, skills, and decision</w:t>
      </w:r>
      <w:r w:rsidRPr="00713475">
        <w:rPr>
          <w:rFonts w:ascii="Arial" w:hAnsi="Arial" w:cs="Arial"/>
          <w:sz w:val="22"/>
          <w:szCs w:val="22"/>
        </w:rPr>
        <w:noBreakHyphen/>
        <w:t>making in complex diabetes care. In regions with limited specialist access, such services may strengthen local chronic disease management, reduce clinical inertia, and ease demand on outpatient clinics.</w:t>
      </w:r>
    </w:p>
    <w:p w14:paraId="4BEE646F" w14:textId="77777777" w:rsidR="002C067C" w:rsidRPr="00713475" w:rsidRDefault="002C067C" w:rsidP="00713475">
      <w:pPr>
        <w:spacing w:line="240" w:lineRule="auto"/>
        <w:rPr>
          <w:rFonts w:ascii="Arial" w:hAnsi="Arial" w:cs="Arial"/>
          <w:sz w:val="22"/>
          <w:szCs w:val="22"/>
        </w:rPr>
      </w:pPr>
    </w:p>
    <w:sectPr w:rsidR="002C067C" w:rsidRPr="00713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8B"/>
    <w:rsid w:val="00130249"/>
    <w:rsid w:val="002C067C"/>
    <w:rsid w:val="002D659E"/>
    <w:rsid w:val="0045604A"/>
    <w:rsid w:val="00577D14"/>
    <w:rsid w:val="005851E1"/>
    <w:rsid w:val="00713475"/>
    <w:rsid w:val="00BC7AF6"/>
    <w:rsid w:val="00C70A4A"/>
    <w:rsid w:val="00D9148B"/>
    <w:rsid w:val="00DB48E6"/>
    <w:rsid w:val="00F6555C"/>
    <w:rsid w:val="00FC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BE96A"/>
  <w15:chartTrackingRefBased/>
  <w15:docId w15:val="{00BBF5FE-75B0-4DF4-91D5-FB895601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D08717-C253-46F5-8722-48308F62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2055B-B0C7-418D-8805-F9BBD922B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7098-AD3A-4502-9675-4567BCF28A77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2041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Ong</dc:creator>
  <cp:keywords/>
  <dc:description/>
  <cp:lastModifiedBy>Tanya Yandall</cp:lastModifiedBy>
  <cp:revision>3</cp:revision>
  <dcterms:created xsi:type="dcterms:W3CDTF">2026-02-16T01:59:00Z</dcterms:created>
  <dcterms:modified xsi:type="dcterms:W3CDTF">2026-02-16T02:00:00Z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d7ce29-90c5-446e-9ee1-529a665ea823_Enabled">
    <vt:lpwstr>true</vt:lpwstr>
  </property>
  <property fmtid="{D5CDD505-2E9C-101B-9397-08002B2CF9AE}" pid="3" name="MSIP_Label_f3d7ce29-90c5-446e-9ee1-529a665ea823_SetDate">
    <vt:lpwstr>2026-02-11T03:48:17Z</vt:lpwstr>
  </property>
  <property fmtid="{D5CDD505-2E9C-101B-9397-08002B2CF9AE}" pid="4" name="MSIP_Label_f3d7ce29-90c5-446e-9ee1-529a665ea823_Method">
    <vt:lpwstr>Standard</vt:lpwstr>
  </property>
  <property fmtid="{D5CDD505-2E9C-101B-9397-08002B2CF9AE}" pid="5" name="MSIP_Label_f3d7ce29-90c5-446e-9ee1-529a665ea823_Name">
    <vt:lpwstr>defa4170-0d19-0005-0004-bc88714345d2</vt:lpwstr>
  </property>
  <property fmtid="{D5CDD505-2E9C-101B-9397-08002B2CF9AE}" pid="6" name="MSIP_Label_f3d7ce29-90c5-446e-9ee1-529a665ea823_SiteId">
    <vt:lpwstr>0a84f4a1-112b-4c76-b814-e57cca68b9ec</vt:lpwstr>
  </property>
  <property fmtid="{D5CDD505-2E9C-101B-9397-08002B2CF9AE}" pid="7" name="MSIP_Label_f3d7ce29-90c5-446e-9ee1-529a665ea823_ActionId">
    <vt:lpwstr>ef578773-b2b0-4186-9e03-3892db9028e9</vt:lpwstr>
  </property>
  <property fmtid="{D5CDD505-2E9C-101B-9397-08002B2CF9AE}" pid="8" name="MSIP_Label_f3d7ce29-90c5-446e-9ee1-529a665ea823_ContentBits">
    <vt:lpwstr>0</vt:lpwstr>
  </property>
  <property fmtid="{D5CDD505-2E9C-101B-9397-08002B2CF9AE}" pid="9" name="MSIP_Label_f3d7ce29-90c5-446e-9ee1-529a665ea823_Tag">
    <vt:lpwstr>10, 3, 0, 1</vt:lpwstr>
  </property>
  <property fmtid="{D5CDD505-2E9C-101B-9397-08002B2CF9AE}" pid="10" name="ContentTypeId">
    <vt:lpwstr>0x01010004DB0B76CE105D459F58063C0D0B3831</vt:lpwstr>
  </property>
  <property fmtid="{D5CDD505-2E9C-101B-9397-08002B2CF9AE}" pid="11" name="MediaServiceImageTags">
    <vt:lpwstr/>
  </property>
</Properties>
</file>