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C113" w14:textId="77777777" w:rsidR="00E2615B" w:rsidRPr="00196020" w:rsidRDefault="00E2615B" w:rsidP="00E2615B">
      <w:pPr>
        <w:rPr>
          <w:rFonts w:ascii="Arial" w:hAnsi="Arial" w:cs="Arial"/>
          <w:b/>
          <w:bCs/>
          <w:sz w:val="22"/>
          <w:szCs w:val="22"/>
        </w:rPr>
      </w:pPr>
      <w:r w:rsidRPr="00196020">
        <w:rPr>
          <w:rFonts w:ascii="Arial" w:hAnsi="Arial" w:cs="Arial"/>
          <w:b/>
          <w:bCs/>
          <w:sz w:val="22"/>
          <w:szCs w:val="22"/>
        </w:rPr>
        <w:t xml:space="preserve">Comparing Clinical and Biochemical Features of Hyperglycaemic and </w:t>
      </w:r>
      <w:proofErr w:type="spellStart"/>
      <w:r w:rsidRPr="00196020">
        <w:rPr>
          <w:rFonts w:ascii="Arial" w:hAnsi="Arial" w:cs="Arial"/>
          <w:b/>
          <w:bCs/>
          <w:sz w:val="22"/>
          <w:szCs w:val="22"/>
        </w:rPr>
        <w:t>Euglycaemic</w:t>
      </w:r>
      <w:proofErr w:type="spellEnd"/>
      <w:r w:rsidRPr="00196020">
        <w:rPr>
          <w:rFonts w:ascii="Arial" w:hAnsi="Arial" w:cs="Arial"/>
          <w:b/>
          <w:bCs/>
          <w:sz w:val="22"/>
          <w:szCs w:val="22"/>
        </w:rPr>
        <w:t xml:space="preserve"> Diabetic Ketoacidosis associated with SGLT2-Inhibitors: A Systematic Review of Case Reports </w:t>
      </w:r>
    </w:p>
    <w:p w14:paraId="73EFA46E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4B840872" w14:textId="77777777" w:rsidR="00E2615B" w:rsidRPr="00196020" w:rsidRDefault="00E2615B" w:rsidP="00E2615B">
      <w:pPr>
        <w:rPr>
          <w:rFonts w:ascii="Arial" w:hAnsi="Arial" w:cs="Arial"/>
          <w:b/>
          <w:bCs/>
          <w:sz w:val="22"/>
          <w:szCs w:val="22"/>
        </w:rPr>
      </w:pPr>
      <w:r w:rsidRPr="00196020">
        <w:rPr>
          <w:rFonts w:ascii="Arial" w:hAnsi="Arial" w:cs="Arial"/>
          <w:b/>
          <w:bCs/>
          <w:sz w:val="22"/>
          <w:szCs w:val="22"/>
        </w:rPr>
        <w:t>Aims/Background</w:t>
      </w:r>
    </w:p>
    <w:p w14:paraId="2344DA41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2375A51D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  <w:r w:rsidRPr="00011B45">
        <w:rPr>
          <w:rFonts w:ascii="Arial" w:hAnsi="Arial" w:cs="Arial"/>
          <w:sz w:val="22"/>
          <w:szCs w:val="22"/>
        </w:rPr>
        <w:t>The use of sodium-glucose co-transporter 2 inhibitors (SGLT2i) for Type 2 Diabetes Mellitus (T2DM) has increased the risk of diabetic ketoacidosis (DKA</w:t>
      </w:r>
      <w:proofErr w:type="gramStart"/>
      <w:r w:rsidRPr="00011B45">
        <w:rPr>
          <w:rFonts w:ascii="Arial" w:hAnsi="Arial" w:cs="Arial"/>
          <w:sz w:val="22"/>
          <w:szCs w:val="22"/>
        </w:rPr>
        <w:t>).(</w:t>
      </w:r>
      <w:proofErr w:type="gramEnd"/>
      <w:r w:rsidRPr="00011B45">
        <w:rPr>
          <w:rFonts w:ascii="Arial" w:hAnsi="Arial" w:cs="Arial"/>
          <w:sz w:val="22"/>
          <w:szCs w:val="22"/>
        </w:rPr>
        <w:t xml:space="preserve">1) SGLT2i associated DKA is defined by acidaemia, </w:t>
      </w:r>
      <w:proofErr w:type="spellStart"/>
      <w:r w:rsidRPr="00011B45">
        <w:rPr>
          <w:rFonts w:ascii="Arial" w:hAnsi="Arial" w:cs="Arial"/>
          <w:sz w:val="22"/>
          <w:szCs w:val="22"/>
        </w:rPr>
        <w:t>ketonaemia</w:t>
      </w:r>
      <w:proofErr w:type="spellEnd"/>
      <w:r w:rsidRPr="00011B45">
        <w:rPr>
          <w:rFonts w:ascii="Arial" w:hAnsi="Arial" w:cs="Arial"/>
          <w:sz w:val="22"/>
          <w:szCs w:val="22"/>
        </w:rPr>
        <w:t xml:space="preserve"> and either </w:t>
      </w:r>
      <w:proofErr w:type="spellStart"/>
      <w:r w:rsidRPr="00011B45">
        <w:rPr>
          <w:rFonts w:ascii="Arial" w:hAnsi="Arial" w:cs="Arial"/>
          <w:sz w:val="22"/>
          <w:szCs w:val="22"/>
        </w:rPr>
        <w:t>euglycaemia</w:t>
      </w:r>
      <w:proofErr w:type="spellEnd"/>
      <w:r w:rsidRPr="00011B45">
        <w:rPr>
          <w:rFonts w:ascii="Arial" w:hAnsi="Arial" w:cs="Arial"/>
          <w:sz w:val="22"/>
          <w:szCs w:val="22"/>
        </w:rPr>
        <w:t xml:space="preserve"> or hyperglycaemia. This study aims to investigate the clinical and biochemical features of hyperglycaemic DKA (HDKA) and </w:t>
      </w:r>
      <w:proofErr w:type="spellStart"/>
      <w:r w:rsidRPr="00011B45">
        <w:rPr>
          <w:rFonts w:ascii="Arial" w:hAnsi="Arial" w:cs="Arial"/>
          <w:sz w:val="22"/>
          <w:szCs w:val="22"/>
        </w:rPr>
        <w:t>euglycaemic</w:t>
      </w:r>
      <w:proofErr w:type="spellEnd"/>
      <w:r w:rsidRPr="00011B45">
        <w:rPr>
          <w:rFonts w:ascii="Arial" w:hAnsi="Arial" w:cs="Arial"/>
          <w:sz w:val="22"/>
          <w:szCs w:val="22"/>
        </w:rPr>
        <w:t xml:space="preserve"> DKA (EDKA), exploring potential differences in both presentations.</w:t>
      </w:r>
    </w:p>
    <w:p w14:paraId="734C1788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492FBFFB" w14:textId="77777777" w:rsidR="00E2615B" w:rsidRPr="00196020" w:rsidRDefault="00E2615B" w:rsidP="00E2615B">
      <w:pPr>
        <w:rPr>
          <w:rFonts w:ascii="Arial" w:hAnsi="Arial" w:cs="Arial"/>
          <w:b/>
          <w:bCs/>
          <w:sz w:val="22"/>
          <w:szCs w:val="22"/>
        </w:rPr>
      </w:pPr>
      <w:r w:rsidRPr="00196020">
        <w:rPr>
          <w:rFonts w:ascii="Arial" w:hAnsi="Arial" w:cs="Arial"/>
          <w:b/>
          <w:bCs/>
          <w:sz w:val="22"/>
          <w:szCs w:val="22"/>
        </w:rPr>
        <w:t xml:space="preserve">Methods </w:t>
      </w:r>
    </w:p>
    <w:p w14:paraId="47E4D886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31536C70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  <w:r w:rsidRPr="00011B45">
        <w:rPr>
          <w:rFonts w:ascii="Arial" w:hAnsi="Arial" w:cs="Arial"/>
          <w:sz w:val="22"/>
          <w:szCs w:val="22"/>
        </w:rPr>
        <w:t xml:space="preserve">PUBMED and EMBASE were searched for case reports published between January 2014 to April 2024 reporting either HDKA or EDKA in a T2DM patient using SGLT2i. The cases were grouped as HDKA if blood glucose level (BGL) ≥14 mmol/L, and EDKA if BGL &lt;14 mmol/L. (2) Case reports were excluded if T1DM or latent autoimmune diabetes in adults were identified to contribute to the DKA. </w:t>
      </w:r>
    </w:p>
    <w:p w14:paraId="6873E3C5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40F5E9AA" w14:textId="77777777" w:rsidR="00E2615B" w:rsidRPr="00196020" w:rsidRDefault="00E2615B" w:rsidP="00E2615B">
      <w:pPr>
        <w:rPr>
          <w:rFonts w:ascii="Arial" w:hAnsi="Arial" w:cs="Arial"/>
          <w:b/>
          <w:bCs/>
          <w:sz w:val="22"/>
          <w:szCs w:val="22"/>
        </w:rPr>
      </w:pPr>
      <w:r w:rsidRPr="00196020">
        <w:rPr>
          <w:rFonts w:ascii="Arial" w:hAnsi="Arial" w:cs="Arial"/>
          <w:b/>
          <w:bCs/>
          <w:sz w:val="22"/>
          <w:szCs w:val="22"/>
        </w:rPr>
        <w:t xml:space="preserve">Results </w:t>
      </w:r>
    </w:p>
    <w:p w14:paraId="3511E438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0A6CFA6F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  <w:r w:rsidRPr="00011B45">
        <w:rPr>
          <w:rFonts w:ascii="Arial" w:hAnsi="Arial" w:cs="Arial"/>
          <w:sz w:val="22"/>
          <w:szCs w:val="22"/>
        </w:rPr>
        <w:t xml:space="preserve">107 cases (HDKA=20, EDKA=87) were included. Mean age of patients was 49.95±13.99 years and 52.78 ± 12.97 years for HDKA and EDKA respectively. Mean BGL was 19.78±7.58 mmol/L and 9.57±2.37 mmol/L (p=0.001). HDKA group had significantly lower pH (7.02±0.12 vs 7.11±0.15 (p=0.013) and higher lactate (2.57±1.62 mmol/L vs 1.88±2.33 mmol/L, p=0.048). Malaise, tachypnoea, and polyuria was more common in HDKA (p&lt;0.05). Fasting, dietary modifications, intercurrent illness, surgery and adjustments to insulin regimens were predominant precipitants of DKA, and their distribution was similar in both groups. Significant (p&lt;0.05) correlations were observed between BMI and beta-hydroxybutyrate (r=-0.657), pH and bicarbonate (r=0.772), pH and base excess (r=0.678), and bicarbonate and base excess (r=0.829). Analysis of SGLT2i subgroups showed nausea, vomiting, polydipsia and polyuria was more common with Dapagliflozin when compared to Empagliflozin and Canagliflozin (p&lt;0.05). </w:t>
      </w:r>
    </w:p>
    <w:p w14:paraId="11D02FBF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7AC4676F" w14:textId="77777777" w:rsidR="00E2615B" w:rsidRPr="00196020" w:rsidRDefault="00E2615B" w:rsidP="00E2615B">
      <w:pPr>
        <w:rPr>
          <w:rFonts w:ascii="Arial" w:hAnsi="Arial" w:cs="Arial"/>
          <w:b/>
          <w:bCs/>
          <w:sz w:val="22"/>
          <w:szCs w:val="22"/>
        </w:rPr>
      </w:pPr>
      <w:r w:rsidRPr="00196020">
        <w:rPr>
          <w:rFonts w:ascii="Arial" w:hAnsi="Arial" w:cs="Arial"/>
          <w:b/>
          <w:bCs/>
          <w:sz w:val="22"/>
          <w:szCs w:val="22"/>
        </w:rPr>
        <w:t xml:space="preserve">Conclusion </w:t>
      </w:r>
    </w:p>
    <w:p w14:paraId="5BC0FE3D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15E6602D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  <w:r w:rsidRPr="00011B45">
        <w:rPr>
          <w:rFonts w:ascii="Arial" w:hAnsi="Arial" w:cs="Arial"/>
          <w:sz w:val="22"/>
          <w:szCs w:val="22"/>
        </w:rPr>
        <w:t xml:space="preserve">While both groups share similar characteristics, our results reflect potential underlying differences between both presentations, warranting further investigation. A more comprehensive understanding of SGLT2i induced DKA will allow for improved risk assessment and expediting diagnosis. </w:t>
      </w:r>
    </w:p>
    <w:p w14:paraId="765F1F20" w14:textId="77777777" w:rsidR="00E2615B" w:rsidRPr="00011B45" w:rsidRDefault="00E2615B" w:rsidP="00E2615B">
      <w:pPr>
        <w:rPr>
          <w:rFonts w:ascii="Arial" w:hAnsi="Arial" w:cs="Arial"/>
          <w:sz w:val="22"/>
          <w:szCs w:val="22"/>
        </w:rPr>
      </w:pPr>
    </w:p>
    <w:p w14:paraId="603B23C3" w14:textId="77777777" w:rsidR="00E2615B" w:rsidRPr="00011B45" w:rsidRDefault="00E2615B" w:rsidP="00E2615B">
      <w:pPr>
        <w:rPr>
          <w:rFonts w:ascii="Arial" w:hAnsi="Arial" w:cs="Arial"/>
          <w:b/>
          <w:bCs/>
          <w:sz w:val="22"/>
          <w:szCs w:val="22"/>
        </w:rPr>
      </w:pPr>
    </w:p>
    <w:p w14:paraId="00B9314C" w14:textId="77777777" w:rsidR="00E2615B" w:rsidRPr="00011B45" w:rsidRDefault="00E2615B" w:rsidP="00E2615B">
      <w:pPr>
        <w:rPr>
          <w:rFonts w:ascii="Arial" w:hAnsi="Arial" w:cs="Arial"/>
          <w:b/>
          <w:bCs/>
          <w:sz w:val="22"/>
          <w:szCs w:val="22"/>
        </w:rPr>
      </w:pPr>
    </w:p>
    <w:p w14:paraId="5D53D8D1" w14:textId="77777777" w:rsidR="00E2615B" w:rsidRPr="00011B45" w:rsidRDefault="00E2615B" w:rsidP="00E2615B">
      <w:pPr>
        <w:rPr>
          <w:rFonts w:ascii="Arial" w:hAnsi="Arial" w:cs="Arial"/>
          <w:b/>
          <w:bCs/>
          <w:sz w:val="22"/>
          <w:szCs w:val="22"/>
        </w:rPr>
      </w:pPr>
    </w:p>
    <w:p w14:paraId="6C9D9100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2527715F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0D58C1E5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77809D76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6BBD772F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29D323AB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013B1081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362E1509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41987497" w14:textId="77777777" w:rsidR="009F64D0" w:rsidRPr="00011B45" w:rsidRDefault="009F64D0" w:rsidP="00E2615B">
      <w:pPr>
        <w:rPr>
          <w:rFonts w:ascii="Arial" w:hAnsi="Arial" w:cs="Arial"/>
          <w:b/>
          <w:bCs/>
          <w:sz w:val="22"/>
          <w:szCs w:val="22"/>
        </w:rPr>
      </w:pPr>
    </w:p>
    <w:p w14:paraId="1A4FA130" w14:textId="77777777" w:rsidR="00011B45" w:rsidRDefault="00011B45" w:rsidP="00E2615B">
      <w:pPr>
        <w:rPr>
          <w:rFonts w:ascii="Arial" w:hAnsi="Arial" w:cs="Arial"/>
          <w:b/>
          <w:bCs/>
          <w:sz w:val="22"/>
          <w:szCs w:val="22"/>
        </w:rPr>
      </w:pPr>
    </w:p>
    <w:p w14:paraId="79338231" w14:textId="77777777" w:rsidR="00011B45" w:rsidRDefault="00011B45" w:rsidP="00E2615B">
      <w:pPr>
        <w:rPr>
          <w:rFonts w:ascii="Arial" w:hAnsi="Arial" w:cs="Arial"/>
          <w:b/>
          <w:bCs/>
          <w:sz w:val="22"/>
          <w:szCs w:val="22"/>
        </w:rPr>
      </w:pPr>
    </w:p>
    <w:p w14:paraId="0D4B93A6" w14:textId="7BE772FE" w:rsidR="00E2615B" w:rsidRPr="00011B45" w:rsidRDefault="00E2615B" w:rsidP="00E2615B">
      <w:pPr>
        <w:rPr>
          <w:rFonts w:ascii="Arial" w:hAnsi="Arial" w:cs="Arial"/>
          <w:b/>
          <w:bCs/>
          <w:sz w:val="22"/>
          <w:szCs w:val="22"/>
        </w:rPr>
      </w:pPr>
      <w:r w:rsidRPr="00011B45">
        <w:rPr>
          <w:rFonts w:ascii="Arial" w:hAnsi="Arial" w:cs="Arial"/>
          <w:b/>
          <w:bCs/>
          <w:sz w:val="22"/>
          <w:szCs w:val="22"/>
        </w:rPr>
        <w:t>Reference List</w:t>
      </w:r>
    </w:p>
    <w:p w14:paraId="276C013A" w14:textId="77777777" w:rsidR="00E2615B" w:rsidRPr="00011B45" w:rsidRDefault="00E2615B" w:rsidP="00E2615B">
      <w:pPr>
        <w:pStyle w:val="EndNoteBibliography"/>
        <w:rPr>
          <w:rFonts w:ascii="Arial" w:hAnsi="Arial" w:cs="Arial"/>
          <w:noProof/>
        </w:rPr>
      </w:pPr>
      <w:r w:rsidRPr="00011B45">
        <w:rPr>
          <w:rFonts w:ascii="Arial" w:hAnsi="Arial" w:cs="Arial"/>
        </w:rPr>
        <w:fldChar w:fldCharType="begin"/>
      </w:r>
      <w:r w:rsidRPr="00011B45">
        <w:rPr>
          <w:rFonts w:ascii="Arial" w:hAnsi="Arial" w:cs="Arial"/>
        </w:rPr>
        <w:instrText xml:space="preserve"> ADDIN EN.REFLIST </w:instrText>
      </w:r>
      <w:r w:rsidRPr="00011B45">
        <w:rPr>
          <w:rFonts w:ascii="Arial" w:hAnsi="Arial" w:cs="Arial"/>
        </w:rPr>
        <w:fldChar w:fldCharType="separate"/>
      </w:r>
      <w:r w:rsidRPr="00011B45">
        <w:rPr>
          <w:rFonts w:ascii="Arial" w:hAnsi="Arial" w:cs="Arial"/>
          <w:noProof/>
        </w:rPr>
        <w:t>1.</w:t>
      </w:r>
      <w:r w:rsidRPr="00011B45">
        <w:rPr>
          <w:rFonts w:ascii="Arial" w:hAnsi="Arial" w:cs="Arial"/>
          <w:noProof/>
        </w:rPr>
        <w:tab/>
        <w:t>Hamblin PS, Wong R, Ekinci EI, Fourlanos S, Shah S, Jones AR, et al. SGLT2 Inhibitors Increase the Risk of Diabetic Ketoacidosis Developing in the Community and During Hospital Admission. J Clin Endocrinol Metab. 2019;104(8):3077-87.</w:t>
      </w:r>
    </w:p>
    <w:p w14:paraId="7577D134" w14:textId="77777777" w:rsidR="00E2615B" w:rsidRPr="00011B45" w:rsidRDefault="00E2615B" w:rsidP="00E2615B">
      <w:pPr>
        <w:pStyle w:val="EndNoteBibliography"/>
        <w:rPr>
          <w:rFonts w:ascii="Arial" w:hAnsi="Arial" w:cs="Arial"/>
          <w:noProof/>
        </w:rPr>
      </w:pPr>
      <w:r w:rsidRPr="00011B45">
        <w:rPr>
          <w:rFonts w:ascii="Arial" w:hAnsi="Arial" w:cs="Arial"/>
          <w:noProof/>
        </w:rPr>
        <w:t>2.</w:t>
      </w:r>
      <w:r w:rsidRPr="00011B45">
        <w:rPr>
          <w:rFonts w:ascii="Arial" w:hAnsi="Arial" w:cs="Arial"/>
          <w:noProof/>
        </w:rPr>
        <w:tab/>
        <w:t>Australian Diabetes Society (ADS) NZSftSoDN. Periprocedural Diabetic Ketoacidosis (DKA) with SGLT2 Inhibitor Use. 2020.</w:t>
      </w:r>
    </w:p>
    <w:p w14:paraId="5D6F2E2E" w14:textId="10A1AE81" w:rsidR="00E2615B" w:rsidRPr="00011B45" w:rsidRDefault="00E2615B" w:rsidP="00E2615B">
      <w:pPr>
        <w:rPr>
          <w:rFonts w:ascii="Arial" w:hAnsi="Arial" w:cs="Arial"/>
        </w:rPr>
      </w:pPr>
      <w:r w:rsidRPr="00011B45">
        <w:rPr>
          <w:rFonts w:ascii="Arial" w:hAnsi="Arial" w:cs="Arial"/>
          <w:sz w:val="22"/>
          <w:szCs w:val="22"/>
        </w:rPr>
        <w:fldChar w:fldCharType="end"/>
      </w:r>
    </w:p>
    <w:p w14:paraId="4204550C" w14:textId="77777777" w:rsidR="00E2615B" w:rsidRDefault="00E2615B" w:rsidP="00E2615B"/>
    <w:p w14:paraId="168066F0" w14:textId="77777777" w:rsidR="00122F6F" w:rsidRDefault="00122F6F"/>
    <w:sectPr w:rsidR="00122F6F" w:rsidSect="00394D9B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5B"/>
    <w:rsid w:val="00004F51"/>
    <w:rsid w:val="00011B45"/>
    <w:rsid w:val="00074979"/>
    <w:rsid w:val="00083979"/>
    <w:rsid w:val="00090CC2"/>
    <w:rsid w:val="00095A29"/>
    <w:rsid w:val="00095FF5"/>
    <w:rsid w:val="000A6E34"/>
    <w:rsid w:val="000B12EC"/>
    <w:rsid w:val="000D4E52"/>
    <w:rsid w:val="001225B2"/>
    <w:rsid w:val="00122F6F"/>
    <w:rsid w:val="00196020"/>
    <w:rsid w:val="00197BA5"/>
    <w:rsid w:val="001C1B2A"/>
    <w:rsid w:val="00247165"/>
    <w:rsid w:val="00271F91"/>
    <w:rsid w:val="002762A3"/>
    <w:rsid w:val="00292445"/>
    <w:rsid w:val="00307ADE"/>
    <w:rsid w:val="00352E34"/>
    <w:rsid w:val="00394D9B"/>
    <w:rsid w:val="003D038A"/>
    <w:rsid w:val="004176BE"/>
    <w:rsid w:val="00446215"/>
    <w:rsid w:val="00446304"/>
    <w:rsid w:val="004B5C1F"/>
    <w:rsid w:val="00502D0E"/>
    <w:rsid w:val="0052703C"/>
    <w:rsid w:val="00554F6A"/>
    <w:rsid w:val="00560CDC"/>
    <w:rsid w:val="005C2547"/>
    <w:rsid w:val="005D69D3"/>
    <w:rsid w:val="0061511D"/>
    <w:rsid w:val="00617F59"/>
    <w:rsid w:val="00622D56"/>
    <w:rsid w:val="00627F2F"/>
    <w:rsid w:val="00643291"/>
    <w:rsid w:val="0069493C"/>
    <w:rsid w:val="007357BF"/>
    <w:rsid w:val="00766FE1"/>
    <w:rsid w:val="007745DE"/>
    <w:rsid w:val="007B71BB"/>
    <w:rsid w:val="007D34C8"/>
    <w:rsid w:val="007F4C62"/>
    <w:rsid w:val="008170AE"/>
    <w:rsid w:val="008E75A2"/>
    <w:rsid w:val="0092561B"/>
    <w:rsid w:val="00956171"/>
    <w:rsid w:val="00973CD2"/>
    <w:rsid w:val="00983374"/>
    <w:rsid w:val="009C2E35"/>
    <w:rsid w:val="009F64D0"/>
    <w:rsid w:val="00A22F0F"/>
    <w:rsid w:val="00A55960"/>
    <w:rsid w:val="00A63904"/>
    <w:rsid w:val="00AF68AD"/>
    <w:rsid w:val="00B703EB"/>
    <w:rsid w:val="00BB03C3"/>
    <w:rsid w:val="00BB0792"/>
    <w:rsid w:val="00BC5C99"/>
    <w:rsid w:val="00C101B5"/>
    <w:rsid w:val="00C30F93"/>
    <w:rsid w:val="00C450E8"/>
    <w:rsid w:val="00C577AA"/>
    <w:rsid w:val="00C768D4"/>
    <w:rsid w:val="00CA11B2"/>
    <w:rsid w:val="00CD0D7E"/>
    <w:rsid w:val="00D27226"/>
    <w:rsid w:val="00D32EFF"/>
    <w:rsid w:val="00D56529"/>
    <w:rsid w:val="00D5676A"/>
    <w:rsid w:val="00D87B82"/>
    <w:rsid w:val="00E2615B"/>
    <w:rsid w:val="00E5505C"/>
    <w:rsid w:val="00E562D6"/>
    <w:rsid w:val="00F75350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2AF6"/>
  <w15:chartTrackingRefBased/>
  <w15:docId w15:val="{4A7F289D-B541-604A-96C4-8F2C7F69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1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1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15B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15B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15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2615B"/>
    <w:rPr>
      <w:rFonts w:eastAsiaTheme="minorEastAsia"/>
    </w:rPr>
  </w:style>
  <w:style w:type="paragraph" w:customStyle="1" w:styleId="EndNoteBibliography">
    <w:name w:val="EndNote Bibliography"/>
    <w:basedOn w:val="Normal"/>
    <w:link w:val="EndNoteBibliographyChar"/>
    <w:rsid w:val="00E2615B"/>
    <w:rPr>
      <w:rFonts w:ascii="Atlas Grotesk Regular" w:eastAsiaTheme="minorHAnsi" w:hAnsi="Atlas Grotesk Regular"/>
      <w:kern w:val="0"/>
      <w:sz w:val="22"/>
      <w:szCs w:val="22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E2615B"/>
    <w:rPr>
      <w:rFonts w:ascii="Atlas Grotesk Regular" w:hAnsi="Atlas Grotesk Regular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2C56A-1A56-3E44-96B4-C7F77BA83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5E52A-6733-476C-8C36-4521A8BC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4A579-687B-40C8-8AFA-B2CCD1774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6093B-D8B1-411A-BAAC-C341084795FA}">
  <ds:schemaRefs>
    <ds:schemaRef ds:uri="http://purl.org/dc/terms/"/>
    <ds:schemaRef ds:uri="9c8a2b7b-0bee-4c48-b0a6-23db8982d3bc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Ng (22793222)</dc:creator>
  <cp:keywords/>
  <dc:description/>
  <cp:lastModifiedBy>Tanya Yandall</cp:lastModifiedBy>
  <cp:revision>3</cp:revision>
  <dcterms:created xsi:type="dcterms:W3CDTF">2025-05-26T23:07:00Z</dcterms:created>
  <dcterms:modified xsi:type="dcterms:W3CDTF">2025-05-26T23:07:00Z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