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B67" w14:textId="77777777" w:rsidR="001E3FEE" w:rsidRDefault="001E3FEE">
      <w:pPr>
        <w:rPr>
          <w:rFonts w:ascii="Arial" w:hAnsi="Arial" w:cs="Arial"/>
          <w:b/>
          <w:bCs/>
          <w:sz w:val="22"/>
          <w:szCs w:val="22"/>
        </w:rPr>
      </w:pPr>
    </w:p>
    <w:p w14:paraId="48FA9371" w14:textId="77777777" w:rsidR="001E3FEE" w:rsidRDefault="001E3FEE">
      <w:pPr>
        <w:rPr>
          <w:rFonts w:ascii="Arial" w:hAnsi="Arial" w:cs="Arial"/>
          <w:b/>
          <w:bCs/>
          <w:sz w:val="22"/>
          <w:szCs w:val="22"/>
        </w:rPr>
      </w:pPr>
    </w:p>
    <w:p w14:paraId="6C0C772B" w14:textId="5D881781" w:rsidR="00D820F9" w:rsidRPr="001E3FEE" w:rsidRDefault="001A6EC2" w:rsidP="001E3FEE">
      <w:pPr>
        <w:rPr>
          <w:rFonts w:ascii="Arial" w:hAnsi="Arial" w:cs="Arial"/>
          <w:b/>
          <w:bCs/>
          <w:sz w:val="22"/>
          <w:szCs w:val="22"/>
        </w:rPr>
      </w:pPr>
      <w:r w:rsidRPr="001E3FEE">
        <w:rPr>
          <w:rFonts w:ascii="Arial" w:hAnsi="Arial" w:cs="Arial"/>
          <w:b/>
          <w:bCs/>
          <w:sz w:val="22"/>
          <w:szCs w:val="22"/>
        </w:rPr>
        <w:t xml:space="preserve">Predictive Value and Optimal Threshold of </w:t>
      </w:r>
      <w:bookmarkStart w:id="0" w:name="OLE_LINK1"/>
      <w:r w:rsidRPr="001E3FEE">
        <w:rPr>
          <w:rFonts w:ascii="Arial" w:hAnsi="Arial" w:cs="Arial"/>
          <w:b/>
          <w:bCs/>
          <w:sz w:val="22"/>
          <w:szCs w:val="22"/>
        </w:rPr>
        <w:t>Serum Retinol Binding Protein 4</w:t>
      </w:r>
      <w:bookmarkEnd w:id="0"/>
      <w:r w:rsidRPr="001E3FEE">
        <w:rPr>
          <w:rFonts w:ascii="Arial" w:hAnsi="Arial" w:cs="Arial"/>
          <w:b/>
          <w:bCs/>
          <w:sz w:val="22"/>
          <w:szCs w:val="22"/>
        </w:rPr>
        <w:t xml:space="preserve"> for Diabetic Nephropathy in Type 1 Diabetes</w:t>
      </w:r>
    </w:p>
    <w:p w14:paraId="354491DA" w14:textId="77777777" w:rsidR="00D820F9" w:rsidRPr="001E3FEE" w:rsidRDefault="00D820F9" w:rsidP="001E3FEE">
      <w:pPr>
        <w:rPr>
          <w:rFonts w:ascii="Arial" w:hAnsi="Arial" w:cs="Arial"/>
          <w:b/>
          <w:bCs/>
          <w:sz w:val="22"/>
          <w:szCs w:val="22"/>
        </w:rPr>
      </w:pPr>
      <w:bookmarkStart w:id="1" w:name="OLE_LINK3"/>
    </w:p>
    <w:p w14:paraId="229C1AF5" w14:textId="77777777" w:rsidR="00D820F9" w:rsidRPr="001E3FEE" w:rsidRDefault="001A6EC2" w:rsidP="001E3FEE">
      <w:pPr>
        <w:rPr>
          <w:rFonts w:ascii="Arial" w:hAnsi="Arial" w:cs="Arial"/>
          <w:sz w:val="22"/>
          <w:szCs w:val="22"/>
        </w:rPr>
      </w:pPr>
      <w:proofErr w:type="gramStart"/>
      <w:r w:rsidRPr="001E3FEE">
        <w:rPr>
          <w:rFonts w:ascii="Arial" w:hAnsi="Arial" w:cs="Arial"/>
          <w:b/>
          <w:bCs/>
          <w:sz w:val="22"/>
          <w:szCs w:val="22"/>
        </w:rPr>
        <w:t>Aims</w:t>
      </w:r>
      <w:r w:rsidRPr="001E3FEE">
        <w:rPr>
          <w:rFonts w:ascii="Arial" w:hAnsi="Arial" w:cs="Arial"/>
          <w:sz w:val="22"/>
          <w:szCs w:val="22"/>
        </w:rPr>
        <w:t xml:space="preserve"> To</w:t>
      </w:r>
      <w:proofErr w:type="gramEnd"/>
      <w:r w:rsidRPr="001E3FEE">
        <w:rPr>
          <w:rFonts w:ascii="Arial" w:hAnsi="Arial" w:cs="Arial"/>
          <w:sz w:val="22"/>
          <w:szCs w:val="22"/>
        </w:rPr>
        <w:t xml:space="preserve"> explore the association between s</w:t>
      </w:r>
      <w:r w:rsidRPr="001E3FEE">
        <w:rPr>
          <w:rFonts w:ascii="Arial" w:hAnsi="Arial" w:cs="Arial"/>
          <w:sz w:val="22"/>
          <w:szCs w:val="22"/>
        </w:rPr>
        <w:t>erum retinol binding protein 4</w:t>
      </w:r>
      <w:r w:rsidRPr="001E3FEE">
        <w:rPr>
          <w:rFonts w:ascii="Arial" w:hAnsi="Arial" w:cs="Arial"/>
          <w:sz w:val="22"/>
          <w:szCs w:val="22"/>
        </w:rPr>
        <w:t xml:space="preserve"> (</w:t>
      </w:r>
      <w:r w:rsidRPr="001E3FEE">
        <w:rPr>
          <w:rFonts w:ascii="Arial" w:hAnsi="Arial" w:cs="Arial"/>
          <w:sz w:val="22"/>
          <w:szCs w:val="22"/>
        </w:rPr>
        <w:t>RBP4</w:t>
      </w:r>
      <w:r w:rsidRPr="001E3FEE">
        <w:rPr>
          <w:rFonts w:ascii="Arial" w:hAnsi="Arial" w:cs="Arial"/>
          <w:sz w:val="22"/>
          <w:szCs w:val="22"/>
        </w:rPr>
        <w:t xml:space="preserve">) </w:t>
      </w:r>
      <w:r w:rsidRPr="001E3FEE">
        <w:rPr>
          <w:rFonts w:ascii="Arial" w:hAnsi="Arial" w:cs="Arial"/>
          <w:sz w:val="22"/>
          <w:szCs w:val="22"/>
        </w:rPr>
        <w:t>and type 1 diabetic nephropathy</w:t>
      </w:r>
      <w:r w:rsidRPr="001E3FEE">
        <w:rPr>
          <w:rFonts w:ascii="Arial" w:hAnsi="Arial" w:cs="Arial"/>
          <w:sz w:val="22"/>
          <w:szCs w:val="22"/>
        </w:rPr>
        <w:t xml:space="preserve"> (</w:t>
      </w:r>
      <w:r w:rsidRPr="001E3FEE">
        <w:rPr>
          <w:rFonts w:ascii="Arial" w:hAnsi="Arial" w:cs="Arial"/>
          <w:sz w:val="22"/>
          <w:szCs w:val="22"/>
        </w:rPr>
        <w:t>T1DN</w:t>
      </w:r>
      <w:r w:rsidRPr="001E3FEE">
        <w:rPr>
          <w:rFonts w:ascii="Arial" w:hAnsi="Arial" w:cs="Arial"/>
          <w:sz w:val="22"/>
          <w:szCs w:val="22"/>
        </w:rPr>
        <w:t>)</w:t>
      </w:r>
      <w:r w:rsidRPr="001E3FEE">
        <w:rPr>
          <w:rFonts w:ascii="Arial" w:hAnsi="Arial" w:cs="Arial"/>
          <w:sz w:val="22"/>
          <w:szCs w:val="22"/>
        </w:rPr>
        <w:t>, to identify the optimal threshold in patients with</w:t>
      </w:r>
      <w:r w:rsidRPr="001E3FEE">
        <w:rPr>
          <w:rFonts w:ascii="Arial" w:hAnsi="Arial" w:cs="Arial"/>
          <w:sz w:val="22"/>
          <w:szCs w:val="22"/>
        </w:rPr>
        <w:t xml:space="preserve"> </w:t>
      </w:r>
      <w:r w:rsidRPr="001E3FEE">
        <w:rPr>
          <w:rFonts w:ascii="Arial" w:hAnsi="Arial" w:cs="Arial"/>
          <w:sz w:val="22"/>
          <w:szCs w:val="22"/>
        </w:rPr>
        <w:t>T1DM</w:t>
      </w:r>
      <w:r w:rsidRPr="001E3FEE">
        <w:rPr>
          <w:rFonts w:ascii="Arial" w:hAnsi="Arial" w:cs="Arial"/>
          <w:sz w:val="22"/>
          <w:szCs w:val="22"/>
        </w:rPr>
        <w:t>, and t</w:t>
      </w:r>
      <w:r w:rsidRPr="001E3FEE">
        <w:rPr>
          <w:rFonts w:ascii="Arial" w:hAnsi="Arial" w:cs="Arial"/>
          <w:sz w:val="22"/>
          <w:szCs w:val="22"/>
        </w:rPr>
        <w:t>o elucidate the molecular mechanisms underlying the observed serum RBP4 elevation</w:t>
      </w:r>
      <w:r w:rsidRPr="001E3FEE">
        <w:rPr>
          <w:rFonts w:ascii="Arial" w:hAnsi="Arial" w:cs="Arial"/>
          <w:sz w:val="22"/>
          <w:szCs w:val="22"/>
        </w:rPr>
        <w:t>.</w:t>
      </w:r>
    </w:p>
    <w:p w14:paraId="5C82D686" w14:textId="77777777" w:rsidR="001E3FEE" w:rsidRDefault="001E3FEE" w:rsidP="001E3FEE">
      <w:pPr>
        <w:rPr>
          <w:rFonts w:ascii="Arial" w:hAnsi="Arial" w:cs="Arial"/>
          <w:b/>
          <w:bCs/>
          <w:sz w:val="22"/>
          <w:szCs w:val="22"/>
        </w:rPr>
      </w:pPr>
    </w:p>
    <w:p w14:paraId="59C2FCC6" w14:textId="6BBA1349" w:rsidR="00D820F9" w:rsidRPr="001E3FEE" w:rsidRDefault="001A6EC2" w:rsidP="001E3FEE">
      <w:pPr>
        <w:rPr>
          <w:rStyle w:val="CommentReference"/>
          <w:rFonts w:ascii="Arial" w:eastAsiaTheme="minorEastAsia" w:hAnsi="Arial" w:cs="Arial"/>
          <w:kern w:val="2"/>
          <w:sz w:val="22"/>
          <w:szCs w:val="22"/>
        </w:rPr>
      </w:pPr>
      <w:r w:rsidRPr="001E3FEE">
        <w:rPr>
          <w:rFonts w:ascii="Arial" w:hAnsi="Arial" w:cs="Arial"/>
          <w:b/>
          <w:bCs/>
          <w:sz w:val="22"/>
          <w:szCs w:val="22"/>
        </w:rPr>
        <w:t>Methods</w:t>
      </w:r>
      <w:r w:rsidRPr="001E3FEE">
        <w:rPr>
          <w:rFonts w:ascii="Arial" w:hAnsi="Arial" w:cs="Arial"/>
          <w:sz w:val="22"/>
          <w:szCs w:val="22"/>
        </w:rPr>
        <w:t xml:space="preserve"> We retrospectively enrolled 718 patients with T1DM between January 2010 to December 2022 in the First Affiliated Hospital with Nanjing Medical University and included 414 age- and sex-matched patients with T2DM as a control group. Patients were divided into DN and non-DN groups based on the diagnosis of DN. Logistic regression identified independent risk factors for DN. Restricted cubic spline (RCS) model examined non-linear relationship between serum RBP4 and DN risk and identified optimal thresholds. </w:t>
      </w:r>
      <w:r w:rsidRPr="001E3FEE">
        <w:rPr>
          <w:rFonts w:ascii="Arial" w:hAnsi="Arial" w:cs="Arial"/>
          <w:sz w:val="22"/>
          <w:szCs w:val="22"/>
        </w:rPr>
        <w:t>C</w:t>
      </w:r>
      <w:r w:rsidRPr="001E3FEE">
        <w:rPr>
          <w:rFonts w:ascii="Arial" w:hAnsi="Arial" w:cs="Arial"/>
          <w:sz w:val="22"/>
          <w:szCs w:val="22"/>
        </w:rPr>
        <w:t>on</w:t>
      </w:r>
      <w:r w:rsidRPr="001E3FEE">
        <w:rPr>
          <w:rFonts w:ascii="Arial" w:hAnsi="Arial" w:cs="Arial"/>
          <w:sz w:val="22"/>
          <w:szCs w:val="22"/>
        </w:rPr>
        <w:t>sidering that RBP4 is primarily reabsorbed and catabolized by renal proximal tubules, we analyzed the human DN tubulointerstitial transcriptome dataset GSE30122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, with differential expression analysis, feature selection (LASSO and random forest), and pathway exploration via GSEA.</w:t>
      </w:r>
    </w:p>
    <w:p w14:paraId="3D76C3C0" w14:textId="77777777" w:rsidR="001E3FEE" w:rsidRDefault="001E3FEE" w:rsidP="001E3FEE">
      <w:pPr>
        <w:rPr>
          <w:rFonts w:ascii="Arial" w:hAnsi="Arial" w:cs="Arial"/>
          <w:b/>
          <w:bCs/>
          <w:sz w:val="22"/>
          <w:szCs w:val="22"/>
        </w:rPr>
      </w:pPr>
    </w:p>
    <w:p w14:paraId="2868149E" w14:textId="226CA806" w:rsidR="00D820F9" w:rsidRPr="001E3FEE" w:rsidRDefault="001A6EC2" w:rsidP="001E3FEE">
      <w:pPr>
        <w:rPr>
          <w:rFonts w:ascii="Arial" w:eastAsiaTheme="minorEastAsia" w:hAnsi="Arial" w:cs="Arial"/>
          <w:sz w:val="22"/>
          <w:szCs w:val="22"/>
        </w:rPr>
      </w:pPr>
      <w:r w:rsidRPr="001E3FEE">
        <w:rPr>
          <w:rFonts w:ascii="Arial" w:hAnsi="Arial" w:cs="Arial"/>
          <w:b/>
          <w:bCs/>
          <w:sz w:val="22"/>
          <w:szCs w:val="22"/>
        </w:rPr>
        <w:t>Results</w:t>
      </w:r>
      <w:r w:rsidRPr="001E3FEE">
        <w:rPr>
          <w:rFonts w:ascii="Arial" w:hAnsi="Arial" w:cs="Arial"/>
          <w:sz w:val="22"/>
          <w:szCs w:val="22"/>
        </w:rPr>
        <w:t xml:space="preserve"> In T1DM, the</w:t>
      </w:r>
      <w:r w:rsidRPr="001E3FEE">
        <w:rPr>
          <w:rFonts w:ascii="Arial" w:hAnsi="Arial" w:cs="Arial"/>
          <w:sz w:val="22"/>
          <w:szCs w:val="22"/>
        </w:rPr>
        <w:t xml:space="preserve"> </w:t>
      </w:r>
      <w:r w:rsidRPr="001E3FEE">
        <w:rPr>
          <w:rFonts w:ascii="Arial" w:hAnsi="Arial" w:cs="Arial"/>
          <w:sz w:val="22"/>
          <w:szCs w:val="22"/>
        </w:rPr>
        <w:t>DN</w:t>
      </w:r>
      <w:r w:rsidRPr="001E3FEE">
        <w:rPr>
          <w:rFonts w:ascii="Arial" w:hAnsi="Arial" w:cs="Arial"/>
          <w:sz w:val="22"/>
          <w:szCs w:val="22"/>
        </w:rPr>
        <w:t xml:space="preserve"> </w:t>
      </w:r>
      <w:r w:rsidRPr="001E3FEE">
        <w:rPr>
          <w:rFonts w:ascii="Arial" w:hAnsi="Arial" w:cs="Arial"/>
          <w:sz w:val="22"/>
          <w:szCs w:val="22"/>
        </w:rPr>
        <w:t>prevalence was 8.9%</w:t>
      </w:r>
      <w:bookmarkStart w:id="2" w:name="OLE_LINK2"/>
      <w:r w:rsidRPr="001E3FEE">
        <w:rPr>
          <w:rFonts w:ascii="Arial" w:hAnsi="Arial" w:cs="Arial"/>
          <w:sz w:val="22"/>
          <w:szCs w:val="22"/>
        </w:rPr>
        <w:t xml:space="preserve"> (64/718).</w:t>
      </w:r>
      <w:bookmarkEnd w:id="2"/>
      <w:r w:rsidRPr="001E3FEE">
        <w:rPr>
          <w:rFonts w:ascii="Arial" w:hAnsi="Arial" w:cs="Arial"/>
          <w:sz w:val="22"/>
          <w:szCs w:val="22"/>
        </w:rPr>
        <w:t xml:space="preserve"> Serum RBP4 </w:t>
      </w:r>
      <w:r w:rsidRPr="001E3FEE">
        <w:rPr>
          <w:rFonts w:ascii="Arial" w:hAnsi="Arial" w:cs="Arial"/>
          <w:sz w:val="22"/>
          <w:szCs w:val="22"/>
        </w:rPr>
        <w:t>was</w:t>
      </w:r>
      <w:r w:rsidRPr="001E3FEE">
        <w:rPr>
          <w:rFonts w:ascii="Arial" w:hAnsi="Arial" w:cs="Arial"/>
          <w:sz w:val="22"/>
          <w:szCs w:val="22"/>
        </w:rPr>
        <w:t xml:space="preserve"> significantly higher in the DN group than in the non-DN group (39.7 vs 26.7 mg/L, </w:t>
      </w:r>
      <w:r w:rsidRPr="001E3FEE">
        <w:rPr>
          <w:rFonts w:ascii="Arial" w:hAnsi="Arial" w:cs="Arial"/>
          <w:i/>
          <w:iCs/>
          <w:sz w:val="22"/>
          <w:szCs w:val="22"/>
        </w:rPr>
        <w:t>P</w:t>
      </w:r>
      <w:r w:rsidRPr="001E3FEE">
        <w:rPr>
          <w:rFonts w:ascii="Arial" w:hAnsi="Arial" w:cs="Arial"/>
          <w:sz w:val="22"/>
          <w:szCs w:val="22"/>
        </w:rPr>
        <w:t>&lt;0.001). In T2DM, the DN prevalence was 16.6% (</w:t>
      </w:r>
      <w:r w:rsidRPr="001E3FEE">
        <w:rPr>
          <w:rFonts w:ascii="Arial" w:hAnsi="Arial" w:cs="Arial"/>
          <w:sz w:val="22"/>
          <w:szCs w:val="22"/>
        </w:rPr>
        <w:t>69</w:t>
      </w:r>
      <w:r w:rsidRPr="001E3FEE">
        <w:rPr>
          <w:rFonts w:ascii="Arial" w:hAnsi="Arial" w:cs="Arial"/>
          <w:sz w:val="22"/>
          <w:szCs w:val="22"/>
        </w:rPr>
        <w:t xml:space="preserve">/414), and overall RBP4 levels were higher than those in T1DM (median: 36.8 mg/L vs 27.6 mg/L, </w:t>
      </w:r>
      <w:r w:rsidRPr="001E3FEE">
        <w:rPr>
          <w:rFonts w:ascii="Arial" w:hAnsi="Arial" w:cs="Arial"/>
          <w:i/>
          <w:iCs/>
          <w:sz w:val="22"/>
          <w:szCs w:val="22"/>
        </w:rPr>
        <w:t>P</w:t>
      </w:r>
      <w:r w:rsidRPr="001E3FEE">
        <w:rPr>
          <w:rFonts w:ascii="Arial" w:hAnsi="Arial" w:cs="Arial"/>
          <w:sz w:val="22"/>
          <w:szCs w:val="22"/>
        </w:rPr>
        <w:t>&lt;0.001). The RCS analysis showed a "J-shaped" relationship between RBP4 and DN risk in T1DM, with a</w:t>
      </w:r>
      <w:r w:rsidRPr="001E3FEE">
        <w:rPr>
          <w:rFonts w:ascii="Arial" w:hAnsi="Arial" w:cs="Arial"/>
          <w:sz w:val="22"/>
          <w:szCs w:val="22"/>
        </w:rPr>
        <w:t xml:space="preserve"> lower</w:t>
      </w:r>
      <w:r w:rsidRPr="001E3FEE">
        <w:rPr>
          <w:rFonts w:ascii="Arial" w:hAnsi="Arial" w:cs="Arial"/>
          <w:sz w:val="22"/>
          <w:szCs w:val="22"/>
        </w:rPr>
        <w:t xml:space="preserve"> optimal threshold </w:t>
      </w:r>
      <w:r w:rsidRPr="001E3FEE">
        <w:rPr>
          <w:rFonts w:ascii="Arial" w:hAnsi="Arial" w:cs="Arial"/>
          <w:sz w:val="22"/>
          <w:szCs w:val="22"/>
        </w:rPr>
        <w:t>(</w:t>
      </w:r>
      <w:r w:rsidRPr="001E3FEE">
        <w:rPr>
          <w:rFonts w:ascii="Arial" w:hAnsi="Arial" w:cs="Arial"/>
          <w:sz w:val="22"/>
          <w:szCs w:val="22"/>
        </w:rPr>
        <w:t>27.42 mg/L</w:t>
      </w:r>
      <w:r w:rsidRPr="001E3FEE">
        <w:rPr>
          <w:rFonts w:ascii="Arial" w:hAnsi="Arial" w:cs="Arial"/>
          <w:sz w:val="22"/>
          <w:szCs w:val="22"/>
        </w:rPr>
        <w:t>)</w:t>
      </w:r>
      <w:r w:rsidRPr="001E3FEE">
        <w:rPr>
          <w:rFonts w:ascii="Arial" w:hAnsi="Arial" w:cs="Arial"/>
          <w:sz w:val="22"/>
          <w:szCs w:val="22"/>
        </w:rPr>
        <w:t xml:space="preserve">, </w:t>
      </w:r>
      <w:r w:rsidRPr="001E3FEE">
        <w:rPr>
          <w:rFonts w:ascii="Arial" w:hAnsi="Arial" w:cs="Arial"/>
          <w:sz w:val="22"/>
          <w:szCs w:val="22"/>
        </w:rPr>
        <w:t>compared to T2DM</w:t>
      </w:r>
      <w:r w:rsidRPr="001E3FEE">
        <w:rPr>
          <w:rFonts w:ascii="Arial" w:hAnsi="Arial" w:cs="Arial"/>
          <w:sz w:val="22"/>
          <w:szCs w:val="22"/>
        </w:rPr>
        <w:t xml:space="preserve"> (37.01 mg/L)</w:t>
      </w:r>
      <w:r w:rsidRPr="001E3FEE">
        <w:rPr>
          <w:rFonts w:ascii="Arial" w:hAnsi="Arial" w:cs="Arial"/>
          <w:sz w:val="22"/>
          <w:szCs w:val="22"/>
        </w:rPr>
        <w:t>.</w:t>
      </w:r>
      <w:r w:rsidRPr="001E3FEE">
        <w:rPr>
          <w:rFonts w:ascii="Arial" w:hAnsi="Arial" w:cs="Arial"/>
          <w:sz w:val="22"/>
          <w:szCs w:val="22"/>
        </w:rPr>
        <w:t xml:space="preserve"> Conversely,</w:t>
      </w:r>
      <w:r w:rsidRPr="001E3FEE">
        <w:rPr>
          <w:rFonts w:ascii="Arial" w:eastAsiaTheme="minorEastAsia" w:hAnsi="Arial" w:cs="Arial"/>
          <w:sz w:val="22"/>
          <w:szCs w:val="22"/>
        </w:rPr>
        <w:t xml:space="preserve"> transcriptomic analysis revealed a downregulation of </w:t>
      </w:r>
      <w:r w:rsidRPr="001E3FEE">
        <w:rPr>
          <w:rFonts w:ascii="Arial" w:hAnsi="Arial" w:cs="Arial"/>
          <w:color w:val="000000"/>
          <w:sz w:val="22"/>
          <w:szCs w:val="22"/>
          <w:lang w:bidi="ar"/>
        </w:rPr>
        <w:t xml:space="preserve">RBP4 </w:t>
      </w:r>
      <w:r w:rsidRPr="001E3FEE">
        <w:rPr>
          <w:rFonts w:ascii="Arial" w:hAnsi="Arial" w:cs="Arial"/>
          <w:color w:val="000000"/>
          <w:sz w:val="22"/>
          <w:szCs w:val="22"/>
          <w:lang w:bidi="ar"/>
        </w:rPr>
        <w:t>and its receptor STRA6 in the renal tubular tissues of DN patients</w:t>
      </w:r>
      <w:r w:rsidRPr="001E3FEE">
        <w:rPr>
          <w:rFonts w:ascii="Arial" w:eastAsiaTheme="minorEastAsia" w:hAnsi="Arial" w:cs="Arial"/>
          <w:sz w:val="22"/>
          <w:szCs w:val="22"/>
        </w:rPr>
        <w:t>.</w:t>
      </w:r>
    </w:p>
    <w:p w14:paraId="10D0B609" w14:textId="77777777" w:rsidR="001E3FEE" w:rsidRDefault="001E3FEE" w:rsidP="001E3FEE">
      <w:pPr>
        <w:rPr>
          <w:rFonts w:ascii="Arial" w:hAnsi="Arial" w:cs="Arial"/>
          <w:b/>
          <w:bCs/>
          <w:sz w:val="22"/>
          <w:szCs w:val="22"/>
        </w:rPr>
      </w:pPr>
    </w:p>
    <w:p w14:paraId="3BEBBF53" w14:textId="104060DD" w:rsidR="00D820F9" w:rsidRPr="001E3FEE" w:rsidRDefault="001A6EC2" w:rsidP="001E3FEE">
      <w:pPr>
        <w:rPr>
          <w:rFonts w:ascii="Arial" w:hAnsi="Arial" w:cs="Arial"/>
          <w:color w:val="000000"/>
          <w:sz w:val="22"/>
          <w:szCs w:val="22"/>
        </w:rPr>
      </w:pPr>
      <w:r w:rsidRPr="001E3FEE">
        <w:rPr>
          <w:rFonts w:ascii="Arial" w:hAnsi="Arial" w:cs="Arial"/>
          <w:b/>
          <w:bCs/>
          <w:sz w:val="22"/>
          <w:szCs w:val="22"/>
        </w:rPr>
        <w:t>Conclusion</w:t>
      </w:r>
      <w:r w:rsidRPr="001E3FEE">
        <w:rPr>
          <w:rFonts w:ascii="Arial" w:hAnsi="Arial" w:cs="Arial"/>
          <w:sz w:val="22"/>
          <w:szCs w:val="22"/>
        </w:rPr>
        <w:t xml:space="preserve"> Serum RBP4 is associated with DN in T1DM and exhibits a lower risk threshold than in T2DM. These findings support serum RBP4 as a sensitive biomarker for the early 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risk stratification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,</w:t>
      </w:r>
      <w:r w:rsidRPr="001E3FEE">
        <w:rPr>
          <w:rFonts w:ascii="Arial" w:hAnsi="Arial" w:cs="Arial"/>
          <w:sz w:val="22"/>
          <w:szCs w:val="22"/>
        </w:rPr>
        <w:t xml:space="preserve"> 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provid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ing</w:t>
      </w: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 xml:space="preserve"> </w:t>
      </w:r>
      <w:r w:rsidRPr="001E3FEE">
        <w:rPr>
          <w:rFonts w:ascii="Arial" w:hAnsi="Arial" w:cs="Arial"/>
          <w:color w:val="000000"/>
          <w:sz w:val="22"/>
          <w:szCs w:val="22"/>
          <w:lang w:bidi="ar"/>
        </w:rPr>
        <w:t>a potential impairment of the RBP4–STRA6 mediated renal tubular uptake/signaling axis.</w:t>
      </w:r>
    </w:p>
    <w:p w14:paraId="5E17A965" w14:textId="77777777" w:rsidR="00D820F9" w:rsidRPr="001E3FEE" w:rsidRDefault="001A6EC2" w:rsidP="001E3FEE">
      <w:pPr>
        <w:rPr>
          <w:rFonts w:ascii="Arial" w:hAnsi="Arial" w:cs="Arial"/>
          <w:sz w:val="22"/>
          <w:szCs w:val="22"/>
        </w:rPr>
      </w:pPr>
      <w:r w:rsidRPr="001E3FEE">
        <w:rPr>
          <w:rFonts w:ascii="Arial" w:eastAsia="PingFang SC" w:hAnsi="Arial" w:cs="Arial"/>
          <w:color w:val="101214"/>
          <w:sz w:val="22"/>
          <w:szCs w:val="22"/>
          <w:shd w:val="clear" w:color="auto" w:fill="FFFFFF"/>
        </w:rPr>
        <w:t>.</w:t>
      </w:r>
      <w:bookmarkEnd w:id="1"/>
    </w:p>
    <w:p w14:paraId="4CCA6427" w14:textId="77777777" w:rsidR="00D820F9" w:rsidRDefault="001A6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114300" distR="114300" wp14:anchorId="5BC918A4" wp14:editId="4CC345A3">
            <wp:extent cx="4420235" cy="2983230"/>
            <wp:effectExtent l="0" t="0" r="8890" b="7620"/>
            <wp:docPr id="3" name="图片 3" descr="0dcbfc48-190e-4b01-9cb2-f493b9c4f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cbfc48-190e-4b01-9cb2-f493b9c4f3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0B8E" w14:textId="77777777" w:rsidR="00D820F9" w:rsidRDefault="00D820F9">
      <w:pPr>
        <w:rPr>
          <w:rFonts w:ascii="Times New Roman" w:hAnsi="Times New Roman" w:cs="Times New Roman"/>
        </w:rPr>
      </w:pPr>
    </w:p>
    <w:p w14:paraId="0AD502D5" w14:textId="77777777" w:rsidR="00D820F9" w:rsidRDefault="00D820F9">
      <w:pPr>
        <w:rPr>
          <w:rFonts w:ascii="Times New Roman" w:hAnsi="Times New Roman" w:cs="Times New Roman"/>
        </w:rPr>
      </w:pPr>
    </w:p>
    <w:p w14:paraId="28DA5A5B" w14:textId="77777777" w:rsidR="00D820F9" w:rsidRDefault="00D820F9">
      <w:pPr>
        <w:rPr>
          <w:rFonts w:ascii="Times New Roman" w:hAnsi="Times New Roman" w:cs="Times New Roman"/>
        </w:rPr>
      </w:pPr>
    </w:p>
    <w:sectPr w:rsidR="00D8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Microsoft YaHei"/>
    <w:charset w:val="86"/>
    <w:family w:val="swiss"/>
    <w:pitch w:val="default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5NWQ4YmM0N2FjMzE0Y2VmYjEzODgyMDEzNmNkY2MifQ=="/>
  </w:docVars>
  <w:rsids>
    <w:rsidRoot w:val="006D6B91"/>
    <w:rsid w:val="001E3FEE"/>
    <w:rsid w:val="003D1103"/>
    <w:rsid w:val="00587593"/>
    <w:rsid w:val="005C78D2"/>
    <w:rsid w:val="006D6B91"/>
    <w:rsid w:val="00A3273F"/>
    <w:rsid w:val="00B16E9F"/>
    <w:rsid w:val="00D820F9"/>
    <w:rsid w:val="00EF6929"/>
    <w:rsid w:val="00F85006"/>
    <w:rsid w:val="054C66C1"/>
    <w:rsid w:val="07377DE4"/>
    <w:rsid w:val="0CCC3751"/>
    <w:rsid w:val="17E56F60"/>
    <w:rsid w:val="1BA07EE7"/>
    <w:rsid w:val="3F310B59"/>
    <w:rsid w:val="445D32D0"/>
    <w:rsid w:val="4CC81A16"/>
    <w:rsid w:val="5E7E7B5B"/>
    <w:rsid w:val="5EFF0594"/>
    <w:rsid w:val="6FAE55A2"/>
    <w:rsid w:val="74184729"/>
    <w:rsid w:val="7DF6C332"/>
    <w:rsid w:val="DBFF9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08897"/>
  <w15:docId w15:val="{1E29727F-E4F5-41C6-8B22-6075922E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imSun" w:hAnsi="SimSun" w:cs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widowControl w:val="0"/>
      <w:spacing w:beforeAutospacing="1" w:afterAutospacing="1"/>
      <w:outlineLvl w:val="1"/>
    </w:pPr>
    <w:rPr>
      <w:rFonts w:cs="Times New Roman" w:hint="eastAsia"/>
      <w:b/>
      <w:bCs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widowControl w:val="0"/>
      <w:spacing w:beforeAutospacing="1" w:afterAutospacing="1"/>
      <w:outlineLvl w:val="2"/>
    </w:pPr>
    <w:rPr>
      <w:rFonts w:cs="Times New Roman" w:hint="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BalloonText">
    <w:name w:val="Balloon Text"/>
    <w:basedOn w:val="Normal"/>
    <w:link w:val="BalloonTextChar"/>
    <w:qFormat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paragraph" w:styleId="NormalWeb">
    <w:name w:val="Normal (Web)"/>
    <w:basedOn w:val="Normal"/>
    <w:qFormat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paragraph" w:styleId="CommentSubject">
    <w:name w:val="annotation subject"/>
    <w:basedOn w:val="CommentText"/>
    <w:next w:val="CommentText"/>
    <w:link w:val="CommentSubjectChar"/>
    <w:qFormat/>
    <w:pPr>
      <w:widowControl/>
    </w:pPr>
    <w:rPr>
      <w:rFonts w:ascii="SimSun" w:eastAsia="SimSun" w:hAnsi="SimSun" w:cs="SimSun"/>
      <w:b/>
      <w:bCs/>
      <w:kern w:val="0"/>
      <w:sz w:val="24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imSun" w:eastAsia="SimSun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SimSun" w:eastAsia="SimSun" w:hAnsi="SimSun" w:cs="SimSun"/>
      <w:b/>
      <w:bCs/>
      <w:kern w:val="2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6617D-DB97-4206-9F1D-2824DDE2D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0D104-DF0F-4B86-891B-45297F2D7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7048-C065-4135-BB8A-C09E88DB44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1776</Characters>
  <Application>Microsoft Office Word</Application>
  <DocSecurity>0</DocSecurity>
  <Lines>33</Lines>
  <Paragraphs>7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Tanya Yandall</cp:lastModifiedBy>
  <cp:revision>3</cp:revision>
  <dcterms:created xsi:type="dcterms:W3CDTF">2026-02-18T00:52:00Z</dcterms:created>
  <dcterms:modified xsi:type="dcterms:W3CDTF">2026-02-18T00:53:00Z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KSOTemplateDocerSaveRecord">
    <vt:lpwstr>eyJoZGlkIjoiM2QwMzMxNDhiM2ExODcyYTE5MzhiMzlkNGI5YjBjMTciLCJ1c2VySWQiOiI1NzczMzIzNzkifQ==</vt:lpwstr>
  </property>
  <property fmtid="{D5CDD505-2E9C-101B-9397-08002B2CF9AE}" pid="4" name="ICV">
    <vt:lpwstr>7830CB25A8BD4D859D78444789A8EBCE_13</vt:lpwstr>
  </property>
  <property fmtid="{D5CDD505-2E9C-101B-9397-08002B2CF9AE}" pid="5" name="ContentTypeId">
    <vt:lpwstr>0x01010004DB0B76CE105D459F58063C0D0B3831</vt:lpwstr>
  </property>
  <property fmtid="{D5CDD505-2E9C-101B-9397-08002B2CF9AE}" pid="6" name="MediaServiceImageTags">
    <vt:lpwstr/>
  </property>
</Properties>
</file>