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9"/>
      </w:tblGrid>
      <w:tr w:rsidR="001564A4" w:rsidRPr="0050053A" w14:paraId="5C38377B" w14:textId="77777777" w:rsidTr="000A3591">
        <w:trPr>
          <w:trHeight w:val="916"/>
          <w:jc w:val="center"/>
        </w:trPr>
        <w:tc>
          <w:tcPr>
            <w:tcW w:w="8879" w:type="dxa"/>
            <w:shd w:val="clear" w:color="auto" w:fill="auto"/>
          </w:tcPr>
          <w:p w14:paraId="5C44F357" w14:textId="64A05CE4" w:rsidR="001564A4" w:rsidRPr="006F2BBB" w:rsidRDefault="00160551" w:rsidP="000A3591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6F2BB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Novel intranasal phage-CaEDTA therapy effectively treats Pseudomonas aeruginosa lung infection</w:t>
            </w:r>
          </w:p>
        </w:tc>
      </w:tr>
      <w:tr w:rsidR="001564A4" w:rsidRPr="0050053A" w14:paraId="0E2E035C" w14:textId="77777777" w:rsidTr="000A3591">
        <w:trPr>
          <w:trHeight w:val="619"/>
          <w:jc w:val="center"/>
        </w:trPr>
        <w:tc>
          <w:tcPr>
            <w:tcW w:w="8879" w:type="dxa"/>
            <w:shd w:val="clear" w:color="auto" w:fill="auto"/>
          </w:tcPr>
          <w:p w14:paraId="73B55295" w14:textId="5FBBBE51" w:rsidR="001564A4" w:rsidRPr="00160551" w:rsidRDefault="000A3591" w:rsidP="000A3591">
            <w:pPr>
              <w:spacing w:line="276" w:lineRule="auto"/>
              <w:rPr>
                <w:sz w:val="20"/>
                <w:szCs w:val="20"/>
              </w:rPr>
            </w:pPr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>Dhammika Leshan Wannigama</w:t>
            </w:r>
            <w:r w:rsidRPr="009352A4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</w:t>
            </w:r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>, Cameron Hurst</w:t>
            </w:r>
            <w:r w:rsidRPr="009352A4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2</w:t>
            </w:r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>, Peter N Monk</w:t>
            </w:r>
            <w:r w:rsidRPr="009352A4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3</w:t>
            </w:r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>, Shuichi Abe</w:t>
            </w:r>
            <w:r w:rsidRPr="009352A4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4</w:t>
            </w:r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>Stephen M Stick</w:t>
            </w:r>
            <w:r w:rsidRPr="009352A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>,</w:t>
            </w:r>
            <w:r w:rsidRPr="009352A4">
              <w:rPr>
                <w:rFonts w:ascii="Arial" w:hAnsi="Arial" w:cs="Arial"/>
                <w:sz w:val="22"/>
                <w:szCs w:val="22"/>
                <w:cs/>
                <w:lang w:val="en-US" w:eastAsia="en-GB" w:bidi="th-TH"/>
              </w:rPr>
              <w:t xml:space="preserve"> </w:t>
            </w:r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>Anthony Kicic</w:t>
            </w:r>
            <w:r w:rsidRPr="009352A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>Tanittha</w:t>
            </w:r>
            <w:proofErr w:type="spellEnd"/>
            <w:r w:rsidRPr="009352A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Chatsuwan</w:t>
            </w:r>
            <w:r w:rsidRPr="009352A4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1</w:t>
            </w:r>
          </w:p>
        </w:tc>
      </w:tr>
      <w:tr w:rsidR="001564A4" w:rsidRPr="0050053A" w14:paraId="385A19D9" w14:textId="77777777" w:rsidTr="000A3591">
        <w:trPr>
          <w:trHeight w:val="168"/>
          <w:jc w:val="center"/>
        </w:trPr>
        <w:tc>
          <w:tcPr>
            <w:tcW w:w="8879" w:type="dxa"/>
            <w:shd w:val="clear" w:color="auto" w:fill="auto"/>
          </w:tcPr>
          <w:p w14:paraId="3B5824AB" w14:textId="77777777" w:rsidR="000A3591" w:rsidRPr="006F2BBB" w:rsidRDefault="000A3591" w:rsidP="000A3591">
            <w:pPr>
              <w:spacing w:before="120" w:after="120" w:line="276" w:lineRule="auto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1 Antimicrobial Resistance and Stewardship Research Unit, Department of Microbiology, Faculty of Medicine, Chulalongkorn University, King Chulalongkorn Memorial Hospital, </w:t>
            </w:r>
            <w:r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Thai Red Cross Society, </w:t>
            </w:r>
            <w:r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Bangkok, Thailand</w:t>
            </w:r>
            <w:r w:rsidRPr="006F2BBB">
              <w:rPr>
                <w:rFonts w:ascii="Arial" w:hAnsi="Arial" w:cs="Arial"/>
                <w:i/>
                <w:sz w:val="22"/>
                <w:szCs w:val="22"/>
                <w:cs/>
                <w:lang w:val="en-US" w:eastAsia="en-GB" w:bidi="th-TH"/>
              </w:rPr>
              <w:t>.</w:t>
            </w:r>
          </w:p>
          <w:p w14:paraId="3F83802C" w14:textId="0330DD45" w:rsidR="000A3591" w:rsidRPr="006F2BBB" w:rsidRDefault="000A3591" w:rsidP="000A3591">
            <w:pPr>
              <w:spacing w:before="120" w:after="120" w:line="276" w:lineRule="auto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2</w:t>
            </w:r>
            <w:r w:rsidRPr="006F2BBB">
              <w:rPr>
                <w:rFonts w:ascii="Arial" w:hAnsi="Arial" w:cs="Arial"/>
                <w:i/>
                <w:sz w:val="22"/>
                <w:szCs w:val="22"/>
                <w:cs/>
                <w:lang w:val="en-US" w:eastAsia="en-GB" w:bidi="th-TH"/>
              </w:rPr>
              <w:t xml:space="preserve"> </w:t>
            </w:r>
            <w:r w:rsidR="00DB3ED1"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Molly </w:t>
            </w:r>
            <w:proofErr w:type="spellStart"/>
            <w:r w:rsidR="00DB3ED1"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Wardaguga</w:t>
            </w:r>
            <w:proofErr w:type="spellEnd"/>
            <w:r w:rsidR="00DB3ED1"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Research Centre, Charles Darwin University, Brisbane, QLD, Australia</w:t>
            </w:r>
          </w:p>
          <w:p w14:paraId="32D8FFD6" w14:textId="77777777" w:rsidR="000A3591" w:rsidRPr="006F2BBB" w:rsidRDefault="000A3591" w:rsidP="000A3591">
            <w:pPr>
              <w:spacing w:before="120" w:after="120" w:line="276" w:lineRule="auto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3 Department of Infection, Immunity &amp; Cardiovascular Disease, University of Sheffield Medical School, United Kingdom</w:t>
            </w:r>
            <w:r w:rsidRPr="006F2BBB">
              <w:rPr>
                <w:rFonts w:ascii="Arial" w:hAnsi="Arial" w:cs="Arial"/>
                <w:i/>
                <w:sz w:val="22"/>
                <w:szCs w:val="22"/>
                <w:cs/>
                <w:lang w:val="en-US" w:eastAsia="en-GB" w:bidi="th-TH"/>
              </w:rPr>
              <w:t>.</w:t>
            </w:r>
          </w:p>
          <w:p w14:paraId="49DB8524" w14:textId="77777777" w:rsidR="000A3591" w:rsidRPr="006F2BBB" w:rsidRDefault="000A3591" w:rsidP="000A3591">
            <w:pPr>
              <w:spacing w:before="120" w:after="120" w:line="276" w:lineRule="auto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4 </w:t>
            </w:r>
            <w:r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Department of Infectious Diseases and Infection Control, Yamagata Prefectural Central Hospital, Yamagata, Japan</w:t>
            </w:r>
            <w:r w:rsidRPr="006F2BBB">
              <w:rPr>
                <w:rFonts w:ascii="Arial" w:hAnsi="Arial" w:cs="Arial"/>
                <w:i/>
                <w:sz w:val="22"/>
                <w:szCs w:val="22"/>
                <w:cs/>
                <w:lang w:val="en-US" w:eastAsia="en-GB" w:bidi="th-TH"/>
              </w:rPr>
              <w:t>.</w:t>
            </w:r>
          </w:p>
          <w:p w14:paraId="45ED36BF" w14:textId="058F8C1A" w:rsidR="001564A4" w:rsidRPr="00D51D75" w:rsidRDefault="000A3591" w:rsidP="000A3591">
            <w:pPr>
              <w:spacing w:line="276" w:lineRule="auto"/>
              <w:rPr>
                <w:sz w:val="20"/>
                <w:szCs w:val="20"/>
              </w:rPr>
            </w:pPr>
            <w:r w:rsidRPr="006F2BB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5</w:t>
            </w:r>
            <w:r w:rsidRPr="006F2BBB">
              <w:rPr>
                <w:rFonts w:ascii="Arial" w:hAnsi="Arial" w:cs="Arial"/>
                <w:i/>
                <w:sz w:val="22"/>
                <w:szCs w:val="22"/>
                <w:cs/>
                <w:lang w:val="en-US" w:eastAsia="en-GB" w:bidi="th-TH"/>
              </w:rPr>
              <w:t xml:space="preserve"> </w:t>
            </w:r>
            <w:r w:rsidRPr="006F2BB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Wal-</w:t>
            </w:r>
            <w:proofErr w:type="spellStart"/>
            <w:r w:rsidRPr="006F2BB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yan</w:t>
            </w:r>
            <w:proofErr w:type="spellEnd"/>
            <w:r w:rsidRPr="006F2BB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Respiratory Centre, </w:t>
            </w:r>
            <w:r w:rsidRPr="006F2BBB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Telethon Kids Institute, University of Western Australia, Nedlands, 6009, Western Australia, Australia</w:t>
            </w:r>
            <w:r w:rsidRPr="006F2BBB">
              <w:rPr>
                <w:rFonts w:ascii="Arial" w:hAnsi="Arial" w:cs="Arial"/>
                <w:i/>
                <w:sz w:val="22"/>
                <w:szCs w:val="22"/>
                <w:cs/>
                <w:lang w:val="en-US" w:eastAsia="en-GB" w:bidi="th-TH"/>
              </w:rPr>
              <w:t>.</w:t>
            </w:r>
          </w:p>
        </w:tc>
      </w:tr>
      <w:tr w:rsidR="001564A4" w:rsidRPr="0050053A" w14:paraId="6DAF615A" w14:textId="77777777" w:rsidTr="006F2BBB">
        <w:trPr>
          <w:trHeight w:hRule="exact" w:val="8516"/>
          <w:jc w:val="center"/>
        </w:trPr>
        <w:tc>
          <w:tcPr>
            <w:tcW w:w="8879" w:type="dxa"/>
            <w:shd w:val="clear" w:color="auto" w:fill="auto"/>
          </w:tcPr>
          <w:p w14:paraId="3D770CF7" w14:textId="61A4C167" w:rsidR="001564A4" w:rsidRPr="006F2BBB" w:rsidRDefault="001564A4" w:rsidP="000A3591">
            <w:pPr>
              <w:pStyle w:val="Pa12"/>
              <w:spacing w:line="276" w:lineRule="auto"/>
              <w:rPr>
                <w:sz w:val="22"/>
                <w:szCs w:val="22"/>
                <w:lang w:val="en-US"/>
              </w:rPr>
            </w:pPr>
            <w:r w:rsidRPr="006F2BBB">
              <w:rPr>
                <w:rStyle w:val="A4"/>
                <w:b/>
                <w:bCs/>
              </w:rPr>
              <w:t xml:space="preserve">Introduction/Aim: </w:t>
            </w:r>
            <w:r w:rsidR="00160551" w:rsidRPr="006F2BBB">
              <w:rPr>
                <w:sz w:val="22"/>
                <w:szCs w:val="22"/>
                <w:lang w:val="en-US"/>
              </w:rPr>
              <w:t xml:space="preserve">Given the rise of multidrug-resistant (MDR) Pseudomonas aeruginosa infections, alternative treatments are needed. Anti-pseudomonal phage therapy shows promise, but its clinical application is limited due to the development of resistance and a lack of biofilm penetration. Recently, adjuvants like CaEDTA have shown the ability to enhance the effectiveness of combined antimicrobial agents. </w:t>
            </w:r>
            <w:r w:rsidR="00D51D75" w:rsidRPr="006F2BBB">
              <w:rPr>
                <w:sz w:val="22"/>
                <w:szCs w:val="22"/>
                <w:lang w:val="en-US"/>
              </w:rPr>
              <w:t>To address this and provide conceptual validation, localized intranasal therapeutic combinations of phages, CaEDTA, and antibiotics were evaluated in vitro and in vivo.</w:t>
            </w:r>
          </w:p>
          <w:p w14:paraId="63EDAA3C" w14:textId="77777777" w:rsidR="00177D93" w:rsidRPr="006F2BBB" w:rsidRDefault="00177D93" w:rsidP="000A3591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14:paraId="5029BAE6" w14:textId="089C7865" w:rsidR="001564A4" w:rsidRPr="006F2BBB" w:rsidRDefault="001564A4" w:rsidP="000A3591">
            <w:pPr>
              <w:pStyle w:val="Pa12"/>
              <w:spacing w:line="276" w:lineRule="auto"/>
              <w:rPr>
                <w:sz w:val="22"/>
                <w:szCs w:val="22"/>
                <w:lang w:val="en-US"/>
              </w:rPr>
            </w:pPr>
            <w:r w:rsidRPr="006F2BBB">
              <w:rPr>
                <w:rStyle w:val="A4"/>
                <w:b/>
                <w:bCs/>
              </w:rPr>
              <w:t xml:space="preserve">Methods: </w:t>
            </w:r>
            <w:proofErr w:type="spellStart"/>
            <w:r w:rsidR="00D51D75" w:rsidRPr="006F2BBB">
              <w:rPr>
                <w:sz w:val="22"/>
                <w:szCs w:val="22"/>
                <w:lang w:val="en-US"/>
              </w:rPr>
              <w:t>Myoviridae</w:t>
            </w:r>
            <w:proofErr w:type="spellEnd"/>
            <w:r w:rsidR="00D51D75" w:rsidRPr="006F2BBB">
              <w:rPr>
                <w:sz w:val="22"/>
                <w:szCs w:val="22"/>
                <w:lang w:val="en-US"/>
              </w:rPr>
              <w:t xml:space="preserve"> phage-KPP10</w:t>
            </w:r>
            <w:r w:rsidR="00D51D75" w:rsidRPr="006F2BBB">
              <w:rPr>
                <w:sz w:val="22"/>
                <w:szCs w:val="22"/>
                <w:lang w:val="en-US"/>
              </w:rPr>
              <w:fldChar w:fldCharType="begin"/>
            </w:r>
            <w:r w:rsidR="00D51D75" w:rsidRPr="006F2BBB">
              <w:rPr>
                <w:sz w:val="22"/>
                <w:szCs w:val="22"/>
                <w:lang w:val="en-US"/>
              </w:rPr>
              <w:instrText xml:space="preserve"> ADDIN EN.CITE &lt;EndNote&gt;&lt;Cite&gt;&lt;Author&gt;Yang&lt;/Author&gt;&lt;Year&gt;2021&lt;/Year&gt;&lt;RecNum&gt;413&lt;/RecNum&gt;&lt;DisplayText&gt;[14]&lt;/DisplayText&gt;&lt;record&gt;&lt;rec-number&gt;413&lt;/rec-number&gt;&lt;foreign-keys&gt;&lt;key app="EN" db-id="vawfv2dekp2reaev923xtstzdadxtzwvxf2r" timestamp="1687418626"&gt;413&lt;/key&gt;&lt;/foreign-keys&gt;&lt;ref-type name="Journal Article"&gt;17&lt;/ref-type&gt;&lt;contributors&gt;&lt;authors&gt;&lt;author&gt;Yang,Xu&lt;/author&gt;&lt;author&gt;Haque,Anwarul&lt;/author&gt;&lt;author&gt;Matsuzaki,Shigenobu&lt;/author&gt;&lt;author&gt;Matsumoto,Tetsuya&lt;/author&gt;&lt;author&gt;Nakamura,Shigeki&lt;/author&gt;&lt;/authors&gt;&lt;/contributors&gt;&lt;titles&gt;&lt;title&gt;The Efficacy of Phage Therapy in a Murine Model of Pseudomonas aeruginosa Pneumonia and Sepsis&lt;/title&gt;&lt;secondary-title&gt;Frontiers in Microbiology&lt;/secondary-title&gt;&lt;short-title&gt;Phage therapy in bacterial pneumonia and sepsis&lt;/short-title&gt;&lt;/titles&gt;&lt;periodical&gt;&lt;full-title&gt;Frontiers in Microbiology&lt;/full-title&gt;&lt;/periodical&gt;&lt;volume&gt;12&lt;/volume&gt;&lt;keywords&gt;&lt;keyword&gt;Key word: Pseudomonas aeruginosa,Pneumonia,Sepsis,Bacteriophage,phage therapy&lt;/keyword&gt;&lt;/keywords&gt;&lt;dates&gt;&lt;year&gt;2021&lt;/year&gt;&lt;pub-dates&gt;&lt;date&gt;2021-July-05&lt;/date&gt;&lt;/pub-dates&gt;&lt;/dates&gt;&lt;isbn&gt;1664-302X&lt;/isbn&gt;&lt;work-type&gt;Original Research&lt;/work-type&gt;&lt;urls&gt;&lt;related-urls&gt;&lt;url&gt;https://www.frontiersin.org/articles/10.3389/fmicb.2021.682255&lt;/url&gt;&lt;/related-urls&gt;&lt;/urls&gt;&lt;electronic-resource-num&gt;10.3389/fmicb.2021.682255&lt;/electronic-resource-num&gt;&lt;language&gt;English&lt;/language&gt;&lt;/record&gt;&lt;/Cite&gt;&lt;/EndNote&gt;</w:instrText>
            </w:r>
            <w:r w:rsidR="006F2BBB" w:rsidRPr="006F2BBB">
              <w:rPr>
                <w:sz w:val="22"/>
                <w:szCs w:val="22"/>
                <w:lang w:val="en-US"/>
              </w:rPr>
              <w:fldChar w:fldCharType="separate"/>
            </w:r>
            <w:r w:rsidR="00D51D75" w:rsidRPr="006F2BBB">
              <w:rPr>
                <w:sz w:val="22"/>
                <w:szCs w:val="22"/>
                <w:lang w:val="en-US"/>
              </w:rPr>
              <w:fldChar w:fldCharType="end"/>
            </w:r>
            <w:r w:rsidR="00D51D75" w:rsidRPr="006F2BBB">
              <w:rPr>
                <w:sz w:val="22"/>
                <w:szCs w:val="22"/>
                <w:lang w:val="en-US"/>
              </w:rPr>
              <w:t xml:space="preserve"> was used to target planktonic and biofilm of MDR clinical isolates of P. aeruginosa (n=27). W</w:t>
            </w:r>
            <w:r w:rsidR="00160551" w:rsidRPr="006F2BBB">
              <w:rPr>
                <w:sz w:val="22"/>
                <w:szCs w:val="22"/>
                <w:lang w:val="en-US"/>
              </w:rPr>
              <w:t>e tested a phage-adjuvant combination and demonstrated the effectiveness of intranasally inhaled phage (KKP10) + CaEDTA in addition to</w:t>
            </w:r>
            <w:r w:rsidR="00160551" w:rsidRPr="006F2BB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60551" w:rsidRPr="006F2BBB">
              <w:rPr>
                <w:sz w:val="22"/>
                <w:szCs w:val="22"/>
                <w:lang w:val="en-US"/>
              </w:rPr>
              <w:t xml:space="preserve">ceftazidime/avibactam (CZA) in vitro and in vivo using a clinically relevant model of chronic P. aeruginosa lung infection. </w:t>
            </w:r>
          </w:p>
          <w:p w14:paraId="00C81D74" w14:textId="77777777" w:rsidR="00177D93" w:rsidRPr="006F2BBB" w:rsidRDefault="00177D93" w:rsidP="000A3591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14:paraId="40F29319" w14:textId="3501F7D4" w:rsidR="000A3591" w:rsidRPr="006F2BBB" w:rsidRDefault="001564A4" w:rsidP="000A3591">
            <w:pPr>
              <w:pStyle w:val="Pa12"/>
              <w:spacing w:line="276" w:lineRule="auto"/>
              <w:rPr>
                <w:sz w:val="22"/>
                <w:szCs w:val="22"/>
                <w:lang w:val="en-US"/>
              </w:rPr>
            </w:pPr>
            <w:r w:rsidRPr="006F2BBB">
              <w:rPr>
                <w:rStyle w:val="A4"/>
                <w:b/>
                <w:bCs/>
              </w:rPr>
              <w:t xml:space="preserve">Results: </w:t>
            </w:r>
            <w:r w:rsidR="00160551" w:rsidRPr="006F2BBB">
              <w:rPr>
                <w:sz w:val="22"/>
                <w:szCs w:val="22"/>
                <w:lang w:val="en-US"/>
              </w:rPr>
              <w:t xml:space="preserve">The combination of KKP10 + CaEDTA significantly reduced bacterial viability compared to ceftazidime/avibactam + CaEDTA or KKP10 + ceftazidime/avibactam (p&lt;0.05). </w:t>
            </w:r>
            <w:r w:rsidR="00177D93" w:rsidRPr="006F2BBB">
              <w:rPr>
                <w:sz w:val="22"/>
                <w:szCs w:val="22"/>
                <w:lang w:val="en-US"/>
              </w:rPr>
              <w:t>T</w:t>
            </w:r>
            <w:r w:rsidR="00160551" w:rsidRPr="006F2BBB">
              <w:rPr>
                <w:sz w:val="22"/>
                <w:szCs w:val="22"/>
                <w:lang w:val="en-US"/>
              </w:rPr>
              <w:t>he addition of ceftazidime/avibactam to this combination resulted in a significant reduction in planktonic P. aeruginosa viability (&lt; 10</w:t>
            </w:r>
            <w:r w:rsidR="00160551" w:rsidRPr="006F2BBB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="00160551" w:rsidRPr="006F2BBB">
              <w:rPr>
                <w:sz w:val="22"/>
                <w:szCs w:val="22"/>
                <w:lang w:val="en-US"/>
              </w:rPr>
              <w:t xml:space="preserve"> CFU), with no bacterial regrowth observed</w:t>
            </w:r>
            <w:r w:rsidR="00D51D75" w:rsidRPr="006F2BBB">
              <w:rPr>
                <w:sz w:val="22"/>
                <w:szCs w:val="22"/>
                <w:lang w:val="en-US"/>
              </w:rPr>
              <w:t xml:space="preserve"> </w:t>
            </w:r>
            <w:r w:rsidR="00160551" w:rsidRPr="006F2BBB">
              <w:rPr>
                <w:sz w:val="22"/>
                <w:szCs w:val="22"/>
                <w:lang w:val="en-US"/>
              </w:rPr>
              <w:t>(p&lt;0.01).</w:t>
            </w:r>
            <w:r w:rsidR="00D51D75" w:rsidRPr="006F2BBB">
              <w:rPr>
                <w:rFonts w:eastAsiaTheme="minorHAnsi"/>
                <w:kern w:val="2"/>
                <w:sz w:val="22"/>
                <w:szCs w:val="22"/>
                <w:lang w:val="en-US" w:eastAsia="en-US" w:bidi="th-TH"/>
                <w14:ligatures w14:val="standardContextual"/>
              </w:rPr>
              <w:t xml:space="preserve"> </w:t>
            </w:r>
            <w:r w:rsidR="00177D93" w:rsidRPr="006F2BBB">
              <w:rPr>
                <w:rFonts w:eastAsiaTheme="minorHAnsi"/>
                <w:kern w:val="2"/>
                <w:sz w:val="22"/>
                <w:szCs w:val="22"/>
                <w:lang w:val="en-US" w:eastAsia="en-US" w:bidi="th-TH"/>
                <w14:ligatures w14:val="standardContextual"/>
              </w:rPr>
              <w:t>I</w:t>
            </w:r>
            <w:r w:rsidR="00D51D75" w:rsidRPr="006F2BBB">
              <w:rPr>
                <w:rFonts w:eastAsiaTheme="minorHAnsi"/>
                <w:kern w:val="2"/>
                <w:sz w:val="22"/>
                <w:szCs w:val="22"/>
                <w:lang w:val="en-US" w:eastAsia="en-US" w:bidi="th-TH"/>
                <w14:ligatures w14:val="standardContextual"/>
              </w:rPr>
              <w:t xml:space="preserve">t </w:t>
            </w:r>
            <w:r w:rsidR="00177D93" w:rsidRPr="006F2BBB">
              <w:rPr>
                <w:rFonts w:eastAsiaTheme="minorHAnsi"/>
                <w:kern w:val="2"/>
                <w:sz w:val="22"/>
                <w:szCs w:val="22"/>
                <w:lang w:val="en-US" w:eastAsia="en-US" w:bidi="th-TH"/>
                <w14:ligatures w14:val="standardContextual"/>
              </w:rPr>
              <w:t xml:space="preserve">also </w:t>
            </w:r>
            <w:r w:rsidR="00D51D75" w:rsidRPr="006F2BBB">
              <w:rPr>
                <w:rFonts w:eastAsiaTheme="minorHAnsi"/>
                <w:kern w:val="2"/>
                <w:sz w:val="22"/>
                <w:szCs w:val="22"/>
                <w:lang w:val="en-US" w:eastAsia="en-US" w:bidi="th-TH"/>
                <w14:ligatures w14:val="standardContextual"/>
              </w:rPr>
              <w:t xml:space="preserve">eliminated mature P. aeruginosa biofilms and significantly reduced bacterial viability (&lt;98%) within biofilms (p&lt;0.01). </w:t>
            </w:r>
            <w:r w:rsidR="00D51D75" w:rsidRPr="006F2BBB">
              <w:rPr>
                <w:sz w:val="22"/>
                <w:szCs w:val="22"/>
                <w:lang w:val="en-US"/>
              </w:rPr>
              <w:t xml:space="preserve">Remarkably, single intranasal inhalation of KPP10 + ceftazidime/avibactam + CaEDTA completely cleared </w:t>
            </w:r>
            <w:r w:rsidR="00177D93" w:rsidRPr="006F2BBB">
              <w:rPr>
                <w:sz w:val="22"/>
                <w:szCs w:val="22"/>
                <w:lang w:val="en-US"/>
              </w:rPr>
              <w:t xml:space="preserve">the </w:t>
            </w:r>
            <w:r w:rsidR="00D51D75" w:rsidRPr="006F2BBB">
              <w:rPr>
                <w:sz w:val="22"/>
                <w:szCs w:val="22"/>
                <w:lang w:val="en-US"/>
              </w:rPr>
              <w:t>bacterial infection in the lung, ensuring 100% survival in treated mice (p&lt;0.01).</w:t>
            </w:r>
          </w:p>
          <w:p w14:paraId="1F449530" w14:textId="77777777" w:rsidR="00177D93" w:rsidRPr="006F2BBB" w:rsidRDefault="00177D93" w:rsidP="000A3591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14:paraId="4197548C" w14:textId="181EABCE" w:rsidR="00D51D75" w:rsidRPr="006F2BBB" w:rsidRDefault="001564A4" w:rsidP="000A3591">
            <w:pPr>
              <w:pStyle w:val="Pa12"/>
              <w:spacing w:line="276" w:lineRule="auto"/>
              <w:rPr>
                <w:sz w:val="22"/>
                <w:szCs w:val="22"/>
                <w:lang w:val="en-US"/>
              </w:rPr>
            </w:pPr>
            <w:r w:rsidRPr="006F2BBB">
              <w:rPr>
                <w:rStyle w:val="A4"/>
                <w:b/>
                <w:bCs/>
              </w:rPr>
              <w:t xml:space="preserve">Conclusion: </w:t>
            </w:r>
            <w:r w:rsidR="00160551" w:rsidRPr="006F2BBB">
              <w:rPr>
                <w:sz w:val="22"/>
                <w:szCs w:val="22"/>
                <w:lang/>
              </w:rPr>
              <w:t xml:space="preserve">This promising approach shows potential as a therapy for </w:t>
            </w:r>
            <w:r w:rsidR="00D51D75" w:rsidRPr="006F2BBB">
              <w:rPr>
                <w:sz w:val="22"/>
                <w:szCs w:val="22"/>
                <w:lang w:val="en-US"/>
              </w:rPr>
              <w:t xml:space="preserve">P. aeruginosa </w:t>
            </w:r>
            <w:r w:rsidR="00160551" w:rsidRPr="006F2BBB">
              <w:rPr>
                <w:sz w:val="22"/>
                <w:szCs w:val="22"/>
                <w:lang/>
              </w:rPr>
              <w:t>chronic respiratory tract infections</w:t>
            </w:r>
            <w:r w:rsidR="00D51D75" w:rsidRPr="006F2BBB">
              <w:rPr>
                <w:sz w:val="22"/>
                <w:szCs w:val="22"/>
                <w:lang w:val="en-US"/>
              </w:rPr>
              <w:t xml:space="preserve">. </w:t>
            </w:r>
          </w:p>
          <w:p w14:paraId="652D8749" w14:textId="77777777" w:rsidR="00177D93" w:rsidRPr="006F2BBB" w:rsidRDefault="00177D93" w:rsidP="000A3591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</w:p>
          <w:p w14:paraId="7383F12E" w14:textId="39FE75A6" w:rsidR="000A3591" w:rsidRPr="006F2BBB" w:rsidRDefault="001564A4" w:rsidP="000A3591">
            <w:pPr>
              <w:pStyle w:val="Pa12"/>
              <w:spacing w:line="276" w:lineRule="auto"/>
              <w:rPr>
                <w:sz w:val="22"/>
                <w:szCs w:val="22"/>
                <w:lang w:bidi="th-TH"/>
              </w:rPr>
            </w:pPr>
            <w:r w:rsidRPr="006F2BBB">
              <w:rPr>
                <w:rStyle w:val="A4"/>
                <w:b/>
                <w:bCs/>
              </w:rPr>
              <w:t xml:space="preserve">Grant Support: </w:t>
            </w:r>
            <w:r w:rsidR="00160551" w:rsidRPr="006F2BBB">
              <w:rPr>
                <w:sz w:val="22"/>
                <w:szCs w:val="22"/>
                <w:lang w:val="en-US"/>
              </w:rPr>
              <w:t xml:space="preserve">Chulalongkorn University </w:t>
            </w:r>
            <w:r w:rsidR="00160551" w:rsidRPr="006F2BBB">
              <w:rPr>
                <w:sz w:val="22"/>
                <w:szCs w:val="22"/>
                <w:cs/>
                <w:lang w:bidi="th-TH"/>
              </w:rPr>
              <w:t>(</w:t>
            </w:r>
            <w:r w:rsidR="00160551" w:rsidRPr="006F2BBB">
              <w:rPr>
                <w:sz w:val="22"/>
                <w:szCs w:val="22"/>
                <w:lang w:val="en-US"/>
              </w:rPr>
              <w:t>Second Century Fund</w:t>
            </w:r>
            <w:r w:rsidR="00160551" w:rsidRPr="006F2BBB">
              <w:rPr>
                <w:sz w:val="22"/>
                <w:szCs w:val="22"/>
                <w:cs/>
                <w:lang w:bidi="th-TH"/>
              </w:rPr>
              <w:t xml:space="preserve">- </w:t>
            </w:r>
            <w:r w:rsidR="00160551" w:rsidRPr="006F2BBB">
              <w:rPr>
                <w:sz w:val="22"/>
                <w:szCs w:val="22"/>
                <w:lang w:val="en-US"/>
              </w:rPr>
              <w:t>C2F Fellowship</w:t>
            </w:r>
            <w:r w:rsidR="00160551" w:rsidRPr="006F2BBB">
              <w:rPr>
                <w:sz w:val="22"/>
                <w:szCs w:val="22"/>
                <w:cs/>
                <w:lang w:bidi="th-TH"/>
              </w:rPr>
              <w:t>).</w:t>
            </w:r>
          </w:p>
          <w:p w14:paraId="7B2F538A" w14:textId="77777777" w:rsidR="00177D93" w:rsidRPr="00177D93" w:rsidRDefault="00177D93" w:rsidP="000A3591">
            <w:pPr>
              <w:pStyle w:val="Default"/>
              <w:spacing w:line="276" w:lineRule="auto"/>
              <w:rPr>
                <w:lang w:bidi="th-TH"/>
              </w:rPr>
            </w:pPr>
          </w:p>
          <w:p w14:paraId="70063D39" w14:textId="77777777" w:rsidR="00D51D75" w:rsidRPr="00D51D75" w:rsidRDefault="00D51D75" w:rsidP="000A3591">
            <w:pPr>
              <w:pStyle w:val="Default"/>
              <w:spacing w:line="276" w:lineRule="auto"/>
              <w:rPr>
                <w:lang w:bidi="th-TH"/>
              </w:rPr>
            </w:pPr>
          </w:p>
          <w:p w14:paraId="5E96D250" w14:textId="77777777" w:rsidR="00D51D75" w:rsidRDefault="00D51D75" w:rsidP="000A3591">
            <w:pPr>
              <w:pStyle w:val="Pa12"/>
              <w:spacing w:line="276" w:lineRule="auto"/>
              <w:rPr>
                <w:sz w:val="22"/>
                <w:szCs w:val="22"/>
                <w:lang w:bidi="th-TH"/>
              </w:rPr>
            </w:pPr>
          </w:p>
          <w:p w14:paraId="7F8381F0" w14:textId="56037B1C" w:rsidR="001564A4" w:rsidRDefault="001564A4" w:rsidP="000A3591">
            <w:pPr>
              <w:pStyle w:val="Pa12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3591">
            <w:pPr>
              <w:pStyle w:val="Default"/>
              <w:spacing w:line="276" w:lineRule="auto"/>
            </w:pPr>
          </w:p>
          <w:p w14:paraId="34BF0A0F" w14:textId="77777777" w:rsidR="001564A4" w:rsidRPr="003E35F0" w:rsidRDefault="001564A4" w:rsidP="000A3591">
            <w:pPr>
              <w:pStyle w:val="Default"/>
              <w:spacing w:line="276" w:lineRule="auto"/>
            </w:pPr>
          </w:p>
          <w:p w14:paraId="1FF1A88F" w14:textId="77777777" w:rsidR="001564A4" w:rsidRPr="0050053A" w:rsidRDefault="001564A4" w:rsidP="000A3591">
            <w:pPr>
              <w:pStyle w:val="Pa12"/>
              <w:spacing w:line="276" w:lineRule="auto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3591">
            <w:pPr>
              <w:pStyle w:val="Default"/>
              <w:spacing w:line="276" w:lineRule="auto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3591">
            <w:pPr>
              <w:pStyle w:val="Default"/>
              <w:spacing w:line="276" w:lineRule="auto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0A3591">
      <w:pPr>
        <w:spacing w:line="276" w:lineRule="auto"/>
      </w:pPr>
    </w:p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A3591"/>
    <w:rsid w:val="001564A4"/>
    <w:rsid w:val="00160551"/>
    <w:rsid w:val="00177D93"/>
    <w:rsid w:val="0051574E"/>
    <w:rsid w:val="006F2BBB"/>
    <w:rsid w:val="008803FA"/>
    <w:rsid w:val="00B12E32"/>
    <w:rsid w:val="00C51B55"/>
    <w:rsid w:val="00D51D75"/>
    <w:rsid w:val="00DB3ED1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1F3AD0-BE13-DA47-98C2-530160DB7452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infopath/2007/PartnerControls"/>
    <ds:schemaRef ds:uri="9c8a2b7b-0bee-4c48-b0a6-23db8982d3bc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cab52c9b-ab33-4221-8af9-54f8f2b86a80"/>
    <ds:schemaRef ds:uri="6911e96c-4cc4-42d5-8e43-f93924cf6a0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2023-10-16T23:56:00Z</dcterms:created>
  <dcterms:modified xsi:type="dcterms:W3CDTF">2023-10-16T23:56:00Z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_documentId">
    <vt:lpwstr>documentId_7438</vt:lpwstr>
  </property>
  <property fmtid="{D5CDD505-2E9C-101B-9397-08002B2CF9AE}" pid="5" name="grammarly_documentContext">
    <vt:lpwstr>{"goals":[],"domain":"general","emotions":[],"dialect":"american"}</vt:lpwstr>
  </property>
</Properties>
</file>