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1564A4" w:rsidRPr="0050053A" w14:paraId="5C38377B" w14:textId="77777777" w:rsidTr="00DF6F49">
        <w:trPr>
          <w:trHeight w:val="1001"/>
          <w:jc w:val="center"/>
        </w:trPr>
        <w:tc>
          <w:tcPr>
            <w:tcW w:w="8959" w:type="dxa"/>
            <w:shd w:val="clear" w:color="auto" w:fill="auto"/>
          </w:tcPr>
          <w:p w14:paraId="5C44F357" w14:textId="31673C27" w:rsidR="001564A4" w:rsidRPr="0050053A" w:rsidRDefault="00AE6F4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Discordance </w:t>
            </w:r>
            <w:r w:rsidR="006537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between clinical and pathological staging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 </w:t>
            </w:r>
            <w:r w:rsidR="006537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Early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Stage</w:t>
            </w:r>
            <w:r w:rsidR="006537B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Lung </w:t>
            </w:r>
            <w:r w:rsidR="00FD4DE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Cancer</w:t>
            </w:r>
          </w:p>
        </w:tc>
      </w:tr>
      <w:tr w:rsidR="001564A4" w:rsidRPr="0050053A" w14:paraId="0E2E035C" w14:textId="77777777" w:rsidTr="00DF6F49">
        <w:trPr>
          <w:trHeight w:val="649"/>
          <w:jc w:val="center"/>
        </w:trPr>
        <w:tc>
          <w:tcPr>
            <w:tcW w:w="8959" w:type="dxa"/>
            <w:shd w:val="clear" w:color="auto" w:fill="auto"/>
          </w:tcPr>
          <w:p w14:paraId="73B55295" w14:textId="327A98B0" w:rsidR="001564A4" w:rsidRPr="00413B94" w:rsidRDefault="00AE6F4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Amy </w:t>
            </w:r>
            <w:r w:rsidR="00E42DEC">
              <w:rPr>
                <w:rFonts w:ascii="Arial" w:hAnsi="Arial" w:cs="Arial"/>
                <w:sz w:val="22"/>
                <w:szCs w:val="22"/>
                <w:lang w:val="en-US" w:eastAsia="en-GB"/>
              </w:rPr>
              <w:t>O’Brien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Eskandarain </w:t>
            </w:r>
            <w:r w:rsidR="001564A4">
              <w:rPr>
                <w:rFonts w:ascii="Arial" w:hAnsi="Arial" w:cs="Arial"/>
                <w:sz w:val="22"/>
                <w:szCs w:val="22"/>
                <w:lang w:val="en-US" w:eastAsia="en-GB"/>
              </w:rPr>
              <w:t>S</w:t>
            </w:r>
            <w:r w:rsidR="00E42DEC">
              <w:rPr>
                <w:rFonts w:ascii="Arial" w:hAnsi="Arial" w:cs="Arial"/>
                <w:sz w:val="22"/>
                <w:szCs w:val="22"/>
                <w:lang w:val="en-US" w:eastAsia="en-GB"/>
              </w:rPr>
              <w:t>hafuddin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Felicity </w:t>
            </w:r>
            <w:r w:rsidR="00530D6B">
              <w:rPr>
                <w:rFonts w:ascii="Arial" w:hAnsi="Arial" w:cs="Arial"/>
                <w:sz w:val="22"/>
                <w:szCs w:val="22"/>
                <w:lang w:val="en-US" w:eastAsia="en-GB"/>
              </w:rPr>
              <w:t>Meikle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Ha </w:t>
            </w:r>
            <w:r w:rsidR="00530D6B">
              <w:rPr>
                <w:rFonts w:ascii="Arial" w:hAnsi="Arial" w:cs="Arial"/>
                <w:sz w:val="22"/>
                <w:szCs w:val="22"/>
                <w:lang w:val="en-US" w:eastAsia="en-GB"/>
              </w:rPr>
              <w:t>Nguyen</w:t>
            </w:r>
            <w:r>
              <w:rPr>
                <w:rFonts w:ascii="Arial" w:hAnsi="Arial" w:cs="Arial"/>
                <w:sz w:val="21"/>
                <w:szCs w:val="21"/>
                <w:vertAlign w:val="superscript"/>
                <w:lang w:val="en-US" w:eastAsia="en-GB"/>
              </w:rPr>
              <w:t>3</w:t>
            </w:r>
            <w:r w:rsidR="00530D6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Ross </w:t>
            </w:r>
            <w:r w:rsidR="00530D6B">
              <w:rPr>
                <w:rFonts w:ascii="Arial" w:hAnsi="Arial" w:cs="Arial"/>
                <w:sz w:val="22"/>
                <w:szCs w:val="22"/>
                <w:lang w:val="en-US" w:eastAsia="en-GB"/>
              </w:rPr>
              <w:t>Lawrenson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1564A4" w:rsidRPr="0050053A" w14:paraId="385A19D9" w14:textId="77777777" w:rsidTr="00DF6F49">
        <w:trPr>
          <w:trHeight w:val="183"/>
          <w:jc w:val="center"/>
        </w:trPr>
        <w:tc>
          <w:tcPr>
            <w:tcW w:w="8959" w:type="dxa"/>
            <w:shd w:val="clear" w:color="auto" w:fill="auto"/>
          </w:tcPr>
          <w:p w14:paraId="1643A330" w14:textId="52530C81" w:rsidR="001564A4" w:rsidRPr="0050053A" w:rsidRDefault="00AE6F4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537B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</w:t>
            </w:r>
            <w:r w:rsidR="009C517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epartment of. Respiratory Medicine, Te Whatu Ora </w:t>
            </w:r>
            <w:r w:rsidR="00530D6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Health New Zealand </w:t>
            </w:r>
            <w:r w:rsidR="009C517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Waikato</w:t>
            </w:r>
          </w:p>
          <w:p w14:paraId="5A73E1FF" w14:textId="571395F1" w:rsidR="001564A4" w:rsidRDefault="00AE6F49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30D6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  </w:t>
            </w:r>
            <w:r w:rsidR="00530D6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Cardiothoracic</w:t>
            </w:r>
            <w:r w:rsidR="00BA524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530D6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Te Whatu Ora Health New Zealand</w:t>
            </w:r>
            <w:r w:rsidR="00BA524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Waikato </w:t>
            </w:r>
          </w:p>
          <w:p w14:paraId="603CD987" w14:textId="07BC3309" w:rsidR="00530D6B" w:rsidRPr="00530D6B" w:rsidRDefault="00530D6B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3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Medical Research Centre, The University Waikato, Hamilton</w:t>
            </w:r>
          </w:p>
          <w:p w14:paraId="45ED36BF" w14:textId="06D52901" w:rsidR="00530D6B" w:rsidRPr="00530D6B" w:rsidRDefault="00530D6B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 </w:t>
            </w:r>
            <w:r w:rsidRPr="00530D6B">
              <w:rPr>
                <w:rFonts w:ascii="Arial" w:hAnsi="Arial" w:cs="Arial"/>
                <w:i/>
                <w:iCs/>
                <w:sz w:val="22"/>
                <w:szCs w:val="22"/>
              </w:rPr>
              <w:t>New Zealand Strategy and Funding, Waikato Hospital, Hamilton, New Zealand</w:t>
            </w:r>
          </w:p>
        </w:tc>
      </w:tr>
      <w:tr w:rsidR="001564A4" w:rsidRPr="0050053A" w14:paraId="6DAF615A" w14:textId="77777777" w:rsidTr="00DF6F49">
        <w:trPr>
          <w:trHeight w:hRule="exact" w:val="9945"/>
          <w:jc w:val="center"/>
        </w:trPr>
        <w:tc>
          <w:tcPr>
            <w:tcW w:w="8959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DDB0E81" w14:textId="5895121E" w:rsidR="00E42DEC" w:rsidRDefault="006537B1" w:rsidP="004115F0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Thoracic surgery is the gold standard curative treatment </w:t>
            </w:r>
            <w:r w:rsidR="00E609E8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early stage and oligometastatic lung cancer. </w:t>
            </w:r>
            <w:r w:rsidR="00A96AB7">
              <w:rPr>
                <w:sz w:val="22"/>
                <w:szCs w:val="22"/>
              </w:rPr>
              <w:t>Clinical</w:t>
            </w:r>
            <w:r>
              <w:rPr>
                <w:sz w:val="22"/>
                <w:szCs w:val="22"/>
              </w:rPr>
              <w:t xml:space="preserve"> under-staging and delay</w:t>
            </w:r>
            <w:r w:rsidR="00A96AB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in </w:t>
            </w:r>
            <w:r w:rsidR="00A96AB7">
              <w:rPr>
                <w:sz w:val="22"/>
                <w:szCs w:val="22"/>
              </w:rPr>
              <w:t xml:space="preserve">receiving </w:t>
            </w:r>
            <w:r>
              <w:rPr>
                <w:sz w:val="22"/>
                <w:szCs w:val="22"/>
              </w:rPr>
              <w:t>thoracic surgery</w:t>
            </w:r>
            <w:r w:rsidR="00A96AB7">
              <w:rPr>
                <w:sz w:val="22"/>
                <w:szCs w:val="22"/>
              </w:rPr>
              <w:t xml:space="preserve"> could</w:t>
            </w:r>
            <w:r>
              <w:rPr>
                <w:sz w:val="22"/>
                <w:szCs w:val="22"/>
              </w:rPr>
              <w:t xml:space="preserve"> lead to inappropriate surg</w:t>
            </w:r>
            <w:r w:rsidR="00A96AB7">
              <w:rPr>
                <w:sz w:val="22"/>
                <w:szCs w:val="22"/>
              </w:rPr>
              <w:t>ical treatment</w:t>
            </w:r>
            <w:r w:rsidR="00B32E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. </w:t>
            </w:r>
            <w:r w:rsidR="004115F0">
              <w:rPr>
                <w:sz w:val="22"/>
                <w:szCs w:val="22"/>
              </w:rPr>
              <w:t>Currently no dat</w:t>
            </w:r>
            <w:r w:rsidR="00E41753">
              <w:rPr>
                <w:sz w:val="22"/>
                <w:szCs w:val="22"/>
              </w:rPr>
              <w:t>a</w:t>
            </w:r>
            <w:r w:rsidR="004115F0">
              <w:rPr>
                <w:sz w:val="22"/>
                <w:szCs w:val="22"/>
              </w:rPr>
              <w:t xml:space="preserve"> exists on the accuracy of clinical staging </w:t>
            </w:r>
            <w:r w:rsidR="00E41753">
              <w:rPr>
                <w:sz w:val="22"/>
                <w:szCs w:val="22"/>
              </w:rPr>
              <w:t>in</w:t>
            </w:r>
            <w:r w:rsidR="004115F0">
              <w:rPr>
                <w:sz w:val="22"/>
                <w:szCs w:val="22"/>
              </w:rPr>
              <w:t xml:space="preserve"> New Zealand</w:t>
            </w:r>
            <w:r>
              <w:rPr>
                <w:sz w:val="22"/>
                <w:szCs w:val="22"/>
              </w:rPr>
              <w:t>. We aimed to investigate the clinical, radiological and pathological diagnosis prior to thoracic surgery and correlate this with post</w:t>
            </w:r>
            <w:r w:rsidR="00DF3C9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operative results. We also aimed to investigate factors that may contribute to a discordance, including ethnicity, and to analyse mortality with and without discordance.</w:t>
            </w:r>
            <w:r w:rsidR="004115F0">
              <w:rPr>
                <w:sz w:val="22"/>
                <w:szCs w:val="22"/>
              </w:rPr>
              <w:t xml:space="preserve">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2629BF7D" w14:textId="4CF354BA" w:rsidR="00DF6F49" w:rsidRDefault="00DF6F49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</w:t>
            </w:r>
            <w:r w:rsidR="00FD4DE1">
              <w:rPr>
                <w:sz w:val="22"/>
                <w:szCs w:val="22"/>
              </w:rPr>
              <w:t xml:space="preserve">performed a </w:t>
            </w:r>
            <w:r>
              <w:rPr>
                <w:sz w:val="22"/>
                <w:szCs w:val="22"/>
              </w:rPr>
              <w:t>retrospective</w:t>
            </w:r>
            <w:r w:rsidR="00FD4DE1">
              <w:rPr>
                <w:sz w:val="22"/>
                <w:szCs w:val="22"/>
              </w:rPr>
              <w:t xml:space="preserve"> audit </w:t>
            </w:r>
            <w:r>
              <w:rPr>
                <w:sz w:val="22"/>
                <w:szCs w:val="22"/>
              </w:rPr>
              <w:t>of 237 patients with early stage lung cancer between 2018–2022</w:t>
            </w:r>
            <w:r w:rsidR="008457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who were reviewed at </w:t>
            </w:r>
            <w:r w:rsidR="00FD4DE1">
              <w:rPr>
                <w:sz w:val="22"/>
                <w:szCs w:val="22"/>
              </w:rPr>
              <w:t xml:space="preserve">Waikato </w:t>
            </w:r>
            <w:r w:rsidR="004115F0">
              <w:rPr>
                <w:sz w:val="22"/>
                <w:szCs w:val="22"/>
              </w:rPr>
              <w:t>Lung Cancer</w:t>
            </w:r>
            <w:r>
              <w:rPr>
                <w:sz w:val="22"/>
                <w:szCs w:val="22"/>
              </w:rPr>
              <w:t xml:space="preserve"> </w:t>
            </w:r>
            <w:r w:rsidR="00E609E8">
              <w:rPr>
                <w:sz w:val="22"/>
                <w:szCs w:val="22"/>
              </w:rPr>
              <w:t>Multidisciplinary Meeting (</w:t>
            </w:r>
            <w:r>
              <w:rPr>
                <w:sz w:val="22"/>
                <w:szCs w:val="22"/>
              </w:rPr>
              <w:t>MD</w:t>
            </w:r>
            <w:r w:rsidR="00E609E8">
              <w:rPr>
                <w:sz w:val="22"/>
                <w:szCs w:val="22"/>
              </w:rPr>
              <w:t>M)</w:t>
            </w:r>
            <w:r>
              <w:rPr>
                <w:sz w:val="22"/>
                <w:szCs w:val="22"/>
              </w:rPr>
              <w:t xml:space="preserve"> and had curative surgery. </w:t>
            </w:r>
            <w:r w:rsidR="00FD4DE1">
              <w:rPr>
                <w:sz w:val="22"/>
                <w:szCs w:val="22"/>
              </w:rPr>
              <w:t>W</w:t>
            </w:r>
            <w:r w:rsidR="008D5AA7">
              <w:rPr>
                <w:sz w:val="22"/>
                <w:szCs w:val="22"/>
              </w:rPr>
              <w:t>e</w:t>
            </w:r>
            <w:r w:rsidR="00FD4DE1">
              <w:rPr>
                <w:sz w:val="22"/>
                <w:szCs w:val="22"/>
              </w:rPr>
              <w:t xml:space="preserve"> collected data on d</w:t>
            </w:r>
            <w:r>
              <w:rPr>
                <w:sz w:val="22"/>
                <w:szCs w:val="22"/>
              </w:rPr>
              <w:t xml:space="preserve">emographics, </w:t>
            </w:r>
            <w:r w:rsidR="00FD4DE1">
              <w:rPr>
                <w:sz w:val="22"/>
                <w:szCs w:val="22"/>
              </w:rPr>
              <w:t>smoking status,</w:t>
            </w:r>
            <w:r w:rsidR="00E609E8">
              <w:rPr>
                <w:sz w:val="22"/>
                <w:szCs w:val="22"/>
              </w:rPr>
              <w:t xml:space="preserve"> lung function</w:t>
            </w:r>
            <w:r w:rsidR="00B32EBD">
              <w:rPr>
                <w:sz w:val="22"/>
                <w:szCs w:val="22"/>
              </w:rPr>
              <w:t>,</w:t>
            </w:r>
            <w:r w:rsidR="00FD4DE1">
              <w:rPr>
                <w:sz w:val="22"/>
                <w:szCs w:val="22"/>
              </w:rPr>
              <w:t xml:space="preserve"> timing of </w:t>
            </w:r>
            <w:r>
              <w:rPr>
                <w:sz w:val="22"/>
                <w:szCs w:val="22"/>
              </w:rPr>
              <w:t>investigations</w:t>
            </w:r>
            <w:r w:rsidR="00B32EBD">
              <w:rPr>
                <w:sz w:val="22"/>
                <w:szCs w:val="22"/>
              </w:rPr>
              <w:t>,</w:t>
            </w:r>
            <w:r w:rsidR="00FD4DE1">
              <w:rPr>
                <w:sz w:val="22"/>
                <w:szCs w:val="22"/>
              </w:rPr>
              <w:t xml:space="preserve"> biopsy results</w:t>
            </w:r>
            <w:r w:rsidR="00B32EBD">
              <w:rPr>
                <w:sz w:val="22"/>
                <w:szCs w:val="22"/>
              </w:rPr>
              <w:t>,</w:t>
            </w:r>
            <w:r w:rsidR="00FD4DE1">
              <w:rPr>
                <w:sz w:val="22"/>
                <w:szCs w:val="22"/>
              </w:rPr>
              <w:t xml:space="preserve"> type of surgery performed</w:t>
            </w:r>
            <w:r>
              <w:rPr>
                <w:sz w:val="22"/>
                <w:szCs w:val="22"/>
              </w:rPr>
              <w:t xml:space="preserve"> and </w:t>
            </w:r>
            <w:r w:rsidR="00FD4DE1">
              <w:rPr>
                <w:sz w:val="22"/>
                <w:szCs w:val="22"/>
              </w:rPr>
              <w:t>post</w:t>
            </w:r>
            <w:r w:rsidR="00DF3C91">
              <w:rPr>
                <w:sz w:val="22"/>
                <w:szCs w:val="22"/>
              </w:rPr>
              <w:t>-</w:t>
            </w:r>
            <w:r w:rsidR="00FD4DE1">
              <w:rPr>
                <w:sz w:val="22"/>
                <w:szCs w:val="22"/>
              </w:rPr>
              <w:t xml:space="preserve">operative </w:t>
            </w:r>
            <w:r>
              <w:rPr>
                <w:sz w:val="22"/>
                <w:szCs w:val="22"/>
              </w:rPr>
              <w:t>tumour characteristics from the MD</w:t>
            </w:r>
            <w:r w:rsidR="00E609E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records. </w:t>
            </w:r>
          </w:p>
          <w:p w14:paraId="57FD96E6" w14:textId="77777777" w:rsidR="009C517E" w:rsidRDefault="009C517E" w:rsidP="000A28E2">
            <w:pPr>
              <w:pStyle w:val="Pa12"/>
              <w:rPr>
                <w:rStyle w:val="A4"/>
                <w:b/>
                <w:bCs/>
              </w:rPr>
            </w:pPr>
          </w:p>
          <w:p w14:paraId="6BF3F094" w14:textId="5AFA8643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1078D19B" w14:textId="4BBBAC69" w:rsidR="00DF6F49" w:rsidRDefault="00FD4DE1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 </w:t>
            </w:r>
            <w:r w:rsidR="00DF6F49">
              <w:rPr>
                <w:sz w:val="22"/>
                <w:szCs w:val="22"/>
              </w:rPr>
              <w:t>females and 100 males</w:t>
            </w:r>
            <w:r w:rsidR="00DF3C91">
              <w:rPr>
                <w:sz w:val="22"/>
                <w:szCs w:val="22"/>
              </w:rPr>
              <w:t xml:space="preserve"> were included</w:t>
            </w:r>
            <w:r w:rsidR="00DF6F49">
              <w:rPr>
                <w:sz w:val="22"/>
                <w:szCs w:val="22"/>
              </w:rPr>
              <w:t xml:space="preserve"> with a mean age of 67. </w:t>
            </w:r>
            <w:r>
              <w:rPr>
                <w:sz w:val="22"/>
                <w:szCs w:val="22"/>
              </w:rPr>
              <w:t>The m</w:t>
            </w:r>
            <w:r w:rsidR="00DF6F49">
              <w:rPr>
                <w:sz w:val="22"/>
                <w:szCs w:val="22"/>
              </w:rPr>
              <w:t>edian time between CT and surgery</w:t>
            </w:r>
            <w:r w:rsidR="0084577A">
              <w:rPr>
                <w:sz w:val="22"/>
                <w:szCs w:val="22"/>
              </w:rPr>
              <w:t xml:space="preserve"> </w:t>
            </w:r>
            <w:r w:rsidR="00DF6F49">
              <w:rPr>
                <w:sz w:val="22"/>
                <w:szCs w:val="22"/>
              </w:rPr>
              <w:t xml:space="preserve">(82 days), PET and surgery (58 days), </w:t>
            </w:r>
            <w:r w:rsidR="00B32EBD">
              <w:rPr>
                <w:sz w:val="22"/>
                <w:szCs w:val="22"/>
              </w:rPr>
              <w:t xml:space="preserve">percutaneous </w:t>
            </w:r>
            <w:r w:rsidR="00292743">
              <w:rPr>
                <w:sz w:val="22"/>
                <w:szCs w:val="22"/>
              </w:rPr>
              <w:t xml:space="preserve"> and/or </w:t>
            </w:r>
            <w:r w:rsidR="00B32EBD">
              <w:rPr>
                <w:sz w:val="22"/>
                <w:szCs w:val="22"/>
              </w:rPr>
              <w:t>endobronchial ultrasound (EBUS)</w:t>
            </w:r>
            <w:r w:rsidR="00292743">
              <w:rPr>
                <w:sz w:val="22"/>
                <w:szCs w:val="22"/>
              </w:rPr>
              <w:t xml:space="preserve"> </w:t>
            </w:r>
            <w:r w:rsidR="00DF6F49">
              <w:rPr>
                <w:sz w:val="22"/>
                <w:szCs w:val="22"/>
              </w:rPr>
              <w:t>biopsy and surgery</w:t>
            </w:r>
            <w:r w:rsidR="0084577A">
              <w:rPr>
                <w:sz w:val="22"/>
                <w:szCs w:val="22"/>
              </w:rPr>
              <w:t xml:space="preserve"> </w:t>
            </w:r>
            <w:r w:rsidR="00DF6F49">
              <w:rPr>
                <w:sz w:val="22"/>
                <w:szCs w:val="22"/>
              </w:rPr>
              <w:t>(54</w:t>
            </w:r>
            <w:r w:rsidR="00292743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 xml:space="preserve">59 </w:t>
            </w:r>
            <w:r w:rsidR="00DF6F49">
              <w:rPr>
                <w:sz w:val="22"/>
                <w:szCs w:val="22"/>
              </w:rPr>
              <w:t>days</w:t>
            </w:r>
            <w:r w:rsidR="00B32EBD">
              <w:rPr>
                <w:sz w:val="22"/>
                <w:szCs w:val="22"/>
              </w:rPr>
              <w:t>,</w:t>
            </w:r>
            <w:r w:rsidR="00292743">
              <w:rPr>
                <w:sz w:val="22"/>
                <w:szCs w:val="22"/>
              </w:rPr>
              <w:t xml:space="preserve"> respectively</w:t>
            </w:r>
            <w:r w:rsidR="00DF6F49">
              <w:rPr>
                <w:sz w:val="22"/>
                <w:szCs w:val="22"/>
              </w:rPr>
              <w:t xml:space="preserve"> </w:t>
            </w:r>
            <w:r w:rsidR="008D5AA7">
              <w:rPr>
                <w:sz w:val="22"/>
                <w:szCs w:val="22"/>
              </w:rPr>
              <w:t>i</w:t>
            </w:r>
            <w:r w:rsidR="00DF6F49">
              <w:rPr>
                <w:sz w:val="22"/>
                <w:szCs w:val="22"/>
              </w:rPr>
              <w:t xml:space="preserve">ndicated that New Zealand Guidelines of &lt; 62days from referral to treatment were no met in majority of cases. </w:t>
            </w:r>
            <w:r w:rsidR="0041778B">
              <w:rPr>
                <w:sz w:val="22"/>
                <w:szCs w:val="22"/>
              </w:rPr>
              <w:t>94% patients had PET</w:t>
            </w:r>
            <w:r w:rsidR="00DF3C91">
              <w:rPr>
                <w:sz w:val="22"/>
                <w:szCs w:val="22"/>
              </w:rPr>
              <w:t>-</w:t>
            </w:r>
            <w:r w:rsidR="0041778B">
              <w:rPr>
                <w:sz w:val="22"/>
                <w:szCs w:val="22"/>
              </w:rPr>
              <w:t>CT prior to surgery and 38% had pre</w:t>
            </w:r>
            <w:r w:rsidR="00DF3C91">
              <w:rPr>
                <w:sz w:val="22"/>
                <w:szCs w:val="22"/>
              </w:rPr>
              <w:t>-</w:t>
            </w:r>
            <w:r w:rsidR="0041778B">
              <w:rPr>
                <w:sz w:val="22"/>
                <w:szCs w:val="22"/>
              </w:rPr>
              <w:t xml:space="preserve">operative </w:t>
            </w:r>
            <w:r w:rsidR="00B32EBD">
              <w:rPr>
                <w:sz w:val="22"/>
                <w:szCs w:val="22"/>
              </w:rPr>
              <w:t xml:space="preserve">EBUS </w:t>
            </w:r>
            <w:r w:rsidR="0041778B">
              <w:rPr>
                <w:sz w:val="22"/>
                <w:szCs w:val="22"/>
              </w:rPr>
              <w:t>nodal sampling.</w:t>
            </w:r>
          </w:p>
          <w:p w14:paraId="68537800" w14:textId="544EB622" w:rsidR="001564A4" w:rsidRPr="009C517E" w:rsidRDefault="00DF6F49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>Discordance between</w:t>
            </w:r>
            <w:r w:rsidR="009C210B">
              <w:rPr>
                <w:sz w:val="22"/>
                <w:szCs w:val="22"/>
              </w:rPr>
              <w:t xml:space="preserve"> clinical</w:t>
            </w:r>
            <w:r w:rsidR="006674BF">
              <w:rPr>
                <w:sz w:val="22"/>
                <w:szCs w:val="22"/>
              </w:rPr>
              <w:t xml:space="preserve"> </w:t>
            </w:r>
            <w:r w:rsidR="009C210B">
              <w:rPr>
                <w:sz w:val="22"/>
                <w:szCs w:val="22"/>
              </w:rPr>
              <w:t xml:space="preserve">and pathological </w:t>
            </w:r>
            <w:r w:rsidR="006674BF">
              <w:rPr>
                <w:sz w:val="22"/>
                <w:szCs w:val="22"/>
              </w:rPr>
              <w:t xml:space="preserve">TNM staging </w:t>
            </w:r>
            <w:r w:rsidR="009C210B">
              <w:rPr>
                <w:sz w:val="22"/>
                <w:szCs w:val="22"/>
              </w:rPr>
              <w:t xml:space="preserve">was 28%, including 20% of total cases being </w:t>
            </w:r>
            <w:r w:rsidR="00E32E5C">
              <w:rPr>
                <w:sz w:val="22"/>
                <w:szCs w:val="22"/>
              </w:rPr>
              <w:t>under</w:t>
            </w:r>
            <w:r w:rsidR="004115F0">
              <w:rPr>
                <w:sz w:val="22"/>
                <w:szCs w:val="22"/>
              </w:rPr>
              <w:t>-</w:t>
            </w:r>
            <w:r w:rsidR="00E32E5C">
              <w:rPr>
                <w:sz w:val="22"/>
                <w:szCs w:val="22"/>
              </w:rPr>
              <w:t>staged</w:t>
            </w:r>
            <w:r w:rsidR="0084577A">
              <w:rPr>
                <w:sz w:val="22"/>
                <w:szCs w:val="22"/>
              </w:rPr>
              <w:t xml:space="preserve"> pre</w:t>
            </w:r>
            <w:r w:rsidR="00E75FD9">
              <w:rPr>
                <w:sz w:val="22"/>
                <w:szCs w:val="22"/>
              </w:rPr>
              <w:t>-</w:t>
            </w:r>
            <w:r w:rsidR="0084577A">
              <w:rPr>
                <w:sz w:val="22"/>
                <w:szCs w:val="22"/>
              </w:rPr>
              <w:t>operatively</w:t>
            </w:r>
            <w:r w:rsidR="009C210B">
              <w:rPr>
                <w:sz w:val="22"/>
                <w:szCs w:val="22"/>
              </w:rPr>
              <w:t xml:space="preserve">. </w:t>
            </w:r>
            <w:r w:rsidR="00732679">
              <w:rPr>
                <w:sz w:val="22"/>
                <w:szCs w:val="22"/>
              </w:rPr>
              <w:t>Performing PET</w:t>
            </w:r>
            <w:r w:rsidR="00901EDE">
              <w:rPr>
                <w:sz w:val="22"/>
                <w:szCs w:val="22"/>
              </w:rPr>
              <w:t>-</w:t>
            </w:r>
            <w:r w:rsidR="00732679">
              <w:rPr>
                <w:sz w:val="22"/>
                <w:szCs w:val="22"/>
              </w:rPr>
              <w:t xml:space="preserve">CT as part of TNM staging reduced the risk of discordance. </w:t>
            </w:r>
            <w:r w:rsidR="0041778B">
              <w:rPr>
                <w:sz w:val="22"/>
                <w:szCs w:val="22"/>
              </w:rPr>
              <w:t xml:space="preserve">Demographics were not associated with discordance. </w:t>
            </w:r>
            <w:r w:rsidR="00E32E5C">
              <w:rPr>
                <w:sz w:val="22"/>
                <w:szCs w:val="22"/>
              </w:rPr>
              <w:t xml:space="preserve">A change in staging </w:t>
            </w:r>
            <w:r w:rsidR="00901EDE">
              <w:rPr>
                <w:sz w:val="22"/>
                <w:szCs w:val="22"/>
              </w:rPr>
              <w:t xml:space="preserve">had no </w:t>
            </w:r>
            <w:r w:rsidR="00E32E5C">
              <w:rPr>
                <w:sz w:val="22"/>
                <w:szCs w:val="22"/>
              </w:rPr>
              <w:t xml:space="preserve">effect </w:t>
            </w:r>
            <w:r w:rsidR="00901EDE">
              <w:rPr>
                <w:sz w:val="22"/>
                <w:szCs w:val="22"/>
              </w:rPr>
              <w:t>on</w:t>
            </w:r>
            <w:r w:rsidR="00E32E5C">
              <w:rPr>
                <w:sz w:val="22"/>
                <w:szCs w:val="22"/>
              </w:rPr>
              <w:t xml:space="preserve"> mortality</w:t>
            </w:r>
            <w:r w:rsidR="00E41753">
              <w:rPr>
                <w:sz w:val="22"/>
                <w:szCs w:val="22"/>
              </w:rPr>
              <w:t xml:space="preserve">. </w:t>
            </w:r>
          </w:p>
          <w:p w14:paraId="3A7E581A" w14:textId="77777777" w:rsidR="009C517E" w:rsidRDefault="009C517E" w:rsidP="000A28E2">
            <w:pPr>
              <w:pStyle w:val="Pa12"/>
              <w:rPr>
                <w:rStyle w:val="A4"/>
                <w:b/>
                <w:bCs/>
              </w:rPr>
            </w:pPr>
          </w:p>
          <w:p w14:paraId="652F7BE1" w14:textId="3692D83C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196E7BAC" w14:textId="2F519F4A" w:rsidR="001564A4" w:rsidRDefault="009C517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cancer guidelines were not met in the diagnosis of early stage lung cancer. Discordance between clinical and pathological staging remains an issue</w:t>
            </w:r>
            <w:r w:rsidR="003261FC">
              <w:rPr>
                <w:sz w:val="22"/>
                <w:szCs w:val="22"/>
              </w:rPr>
              <w:t xml:space="preserve">. The implications for patients </w:t>
            </w:r>
            <w:r w:rsidR="00515D19">
              <w:rPr>
                <w:sz w:val="22"/>
                <w:szCs w:val="22"/>
              </w:rPr>
              <w:t>with</w:t>
            </w:r>
            <w:r w:rsidR="003261FC">
              <w:rPr>
                <w:sz w:val="22"/>
                <w:szCs w:val="22"/>
              </w:rPr>
              <w:t xml:space="preserve"> clinical under</w:t>
            </w:r>
            <w:r w:rsidR="006537B1">
              <w:rPr>
                <w:sz w:val="22"/>
                <w:szCs w:val="22"/>
              </w:rPr>
              <w:t>-</w:t>
            </w:r>
            <w:r w:rsidR="003261FC">
              <w:rPr>
                <w:sz w:val="22"/>
                <w:szCs w:val="22"/>
              </w:rPr>
              <w:t>staging could mean</w:t>
            </w:r>
            <w:r w:rsidR="00292743">
              <w:rPr>
                <w:sz w:val="22"/>
                <w:szCs w:val="22"/>
              </w:rPr>
              <w:t xml:space="preserve"> inappropriate surgery or </w:t>
            </w:r>
            <w:r w:rsidR="00FD4DE1">
              <w:rPr>
                <w:sz w:val="22"/>
                <w:szCs w:val="22"/>
              </w:rPr>
              <w:t>not receiving neoadjuvant</w:t>
            </w:r>
            <w:r w:rsidR="003261FC">
              <w:rPr>
                <w:sz w:val="22"/>
                <w:szCs w:val="22"/>
              </w:rPr>
              <w:t xml:space="preserve"> therap</w:t>
            </w:r>
            <w:r w:rsidR="00FD4DE1">
              <w:rPr>
                <w:sz w:val="22"/>
                <w:szCs w:val="22"/>
              </w:rPr>
              <w:t>y</w:t>
            </w:r>
            <w:r w:rsidR="00292743">
              <w:rPr>
                <w:sz w:val="22"/>
                <w:szCs w:val="22"/>
              </w:rPr>
              <w:t>.</w:t>
            </w:r>
          </w:p>
          <w:p w14:paraId="459A13E7" w14:textId="77777777" w:rsidR="003261FC" w:rsidRPr="003261FC" w:rsidRDefault="003261FC" w:rsidP="003261FC">
            <w:pPr>
              <w:pStyle w:val="Default"/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14FAD5A0" w:rsidR="001564A4" w:rsidRDefault="00292743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 Nguyen was funded by an HRC Equitable Cancer Fund</w:t>
            </w:r>
            <w:r w:rsidDel="00292743">
              <w:rPr>
                <w:sz w:val="22"/>
                <w:szCs w:val="22"/>
              </w:rPr>
              <w:t xml:space="preserve"> 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1564A4"/>
    <w:rsid w:val="001772C4"/>
    <w:rsid w:val="001C5001"/>
    <w:rsid w:val="00251C17"/>
    <w:rsid w:val="00292743"/>
    <w:rsid w:val="003261FC"/>
    <w:rsid w:val="00393F97"/>
    <w:rsid w:val="004115F0"/>
    <w:rsid w:val="0041778B"/>
    <w:rsid w:val="004177D9"/>
    <w:rsid w:val="0051574E"/>
    <w:rsid w:val="00515D19"/>
    <w:rsid w:val="00530D6B"/>
    <w:rsid w:val="006537B1"/>
    <w:rsid w:val="006674BF"/>
    <w:rsid w:val="0067133D"/>
    <w:rsid w:val="00732679"/>
    <w:rsid w:val="0084577A"/>
    <w:rsid w:val="008803FA"/>
    <w:rsid w:val="008D5AA7"/>
    <w:rsid w:val="00901EDE"/>
    <w:rsid w:val="009C210B"/>
    <w:rsid w:val="009C517E"/>
    <w:rsid w:val="009F4614"/>
    <w:rsid w:val="00A36FFD"/>
    <w:rsid w:val="00A96AB7"/>
    <w:rsid w:val="00AD2118"/>
    <w:rsid w:val="00AE6F49"/>
    <w:rsid w:val="00B0330B"/>
    <w:rsid w:val="00B12E32"/>
    <w:rsid w:val="00B32EBD"/>
    <w:rsid w:val="00BA5241"/>
    <w:rsid w:val="00CF1581"/>
    <w:rsid w:val="00DF3C91"/>
    <w:rsid w:val="00DF6F49"/>
    <w:rsid w:val="00E0700F"/>
    <w:rsid w:val="00E221EC"/>
    <w:rsid w:val="00E32E5C"/>
    <w:rsid w:val="00E41753"/>
    <w:rsid w:val="00E42DEC"/>
    <w:rsid w:val="00E609E8"/>
    <w:rsid w:val="00E75FD9"/>
    <w:rsid w:val="00F24469"/>
    <w:rsid w:val="00F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D5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A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A7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A7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AE6F4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Microsoft Office User</cp:lastModifiedBy>
  <cp:revision>2</cp:revision>
  <dcterms:created xsi:type="dcterms:W3CDTF">2023-10-18T22:00:00Z</dcterms:created>
  <dcterms:modified xsi:type="dcterms:W3CDTF">2023-10-18T22:00:00Z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