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955AC9F" w:rsidR="003F5E2D" w:rsidRPr="007758D4" w:rsidRDefault="003F5E2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X-ray Velocimetry detects peripheral lung ventilation defects in </w:t>
            </w:r>
            <w:r w:rsidR="00AE5BC9">
              <w:rPr>
                <w:color w:val="000000"/>
                <w:sz w:val="22"/>
                <w:szCs w:val="22"/>
              </w:rPr>
              <w:t>β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ENaC mice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42EFFA4" w:rsidR="001564A4" w:rsidRPr="00CC1629" w:rsidRDefault="004D4856" w:rsidP="004D4856">
            <w:pPr>
              <w:pStyle w:val="NormalWeb"/>
              <w:spacing w:before="0" w:beforeAutospacing="0" w:after="0" w:afterAutospacing="0"/>
              <w:jc w:val="both"/>
            </w:pP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>Reyne N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1-3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>, Cmielewski P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1-3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>, Smith R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1-3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>Eikelis</w:t>
            </w:r>
            <w:proofErr w:type="spellEnd"/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 xml:space="preserve"> N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CC1629" w:rsidRPr="00CC1629">
              <w:rPr>
                <w:rFonts w:ascii="Arial" w:hAnsi="Arial" w:cs="Arial"/>
                <w:color w:val="000000"/>
                <w:sz w:val="22"/>
                <w:szCs w:val="22"/>
              </w:rPr>
              <w:t>Nilsen K</w:t>
            </w:r>
            <w:r w:rsidR="00CC1629"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CC1629" w:rsidRPr="00CC162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>Mall M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>, Parsons D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1-3</w:t>
            </w:r>
            <w:r w:rsidRPr="00CC162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Donnelley M</w:t>
            </w:r>
            <w:r w:rsidRPr="00CC162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1-3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47287FA8" w:rsidR="001564A4" w:rsidRPr="007758D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58D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>Adelaide Medical School, The University of Adelaide, South Australia, Australia.</w:t>
            </w:r>
          </w:p>
          <w:p w14:paraId="3BD815D8" w14:textId="74F4083F" w:rsidR="001564A4" w:rsidRPr="007758D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58D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>Robinson Research Institute, The University of Adelaide, South Australia, Australia.</w:t>
            </w:r>
            <w:r w:rsidRPr="00775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7A199103" w14:textId="110F6A53" w:rsidR="004D4856" w:rsidRPr="007758D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58D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>Respiratory and Sleep Medicine, Women’s and Children’s Hospital, South Australia, Australia.</w:t>
            </w:r>
          </w:p>
          <w:p w14:paraId="606CB874" w14:textId="087D0A42" w:rsidR="001564A4" w:rsidRPr="007758D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58D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>4DMedical, Victoria, Australia</w:t>
            </w:r>
          </w:p>
          <w:p w14:paraId="45ED36BF" w14:textId="0D76F7A3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758D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Dept of Paediatric Pulmonology, Immunology and Critical Care Medicine, Charité - </w:t>
            </w:r>
            <w:proofErr w:type="spellStart"/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>Universitätsmedizin</w:t>
            </w:r>
            <w:proofErr w:type="spellEnd"/>
            <w:r w:rsidR="004D4856" w:rsidRPr="007758D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Berlin, Berlin, Germany</w:t>
            </w:r>
          </w:p>
        </w:tc>
      </w:tr>
      <w:tr w:rsidR="001564A4" w:rsidRPr="0050053A" w14:paraId="6DAF615A" w14:textId="77777777" w:rsidTr="00067E2A">
        <w:trPr>
          <w:trHeight w:hRule="exact" w:val="8820"/>
          <w:jc w:val="center"/>
        </w:trPr>
        <w:tc>
          <w:tcPr>
            <w:tcW w:w="8640" w:type="dxa"/>
            <w:shd w:val="clear" w:color="auto" w:fill="auto"/>
          </w:tcPr>
          <w:p w14:paraId="70A820AD" w14:textId="77777777" w:rsidR="00067E2A" w:rsidRDefault="007758D4" w:rsidP="00067E2A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Introduction:</w:t>
            </w:r>
            <w:r>
              <w:rPr>
                <w:color w:val="000000"/>
                <w:sz w:val="22"/>
                <w:szCs w:val="22"/>
              </w:rPr>
              <w:t xml:space="preserve"> The βENaC mice model over-expresses the β-subunit of the epithelial sodium channel, resulting in mucus dehydration, reduced mucociliary clearance, and altered lung function</w:t>
            </w:r>
            <w:r w:rsidR="00031BD4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031BD4">
              <w:rPr>
                <w:color w:val="000000"/>
                <w:sz w:val="22"/>
                <w:szCs w:val="22"/>
              </w:rPr>
              <w:t>similar to</w:t>
            </w:r>
            <w:proofErr w:type="gramEnd"/>
            <w:r w:rsidR="00031BD4">
              <w:rPr>
                <w:color w:val="000000"/>
                <w:sz w:val="22"/>
                <w:szCs w:val="22"/>
              </w:rPr>
              <w:t xml:space="preserve"> cystic fibrosis</w:t>
            </w:r>
            <w:r>
              <w:rPr>
                <w:color w:val="000000"/>
                <w:sz w:val="22"/>
                <w:szCs w:val="22"/>
              </w:rPr>
              <w:t xml:space="preserve">. While previous studies have explored lung function in βENaC mice, a comprehensive assessment using novel lung imaging technology, X-ray Velocimetry (XV), has not been undertaken. This study aimed to evaluate the </w:t>
            </w:r>
            <w:r w:rsidR="00183E07">
              <w:rPr>
                <w:color w:val="000000"/>
                <w:sz w:val="22"/>
                <w:szCs w:val="22"/>
              </w:rPr>
              <w:t xml:space="preserve">ability for </w:t>
            </w:r>
            <w:r>
              <w:rPr>
                <w:color w:val="000000"/>
                <w:sz w:val="22"/>
                <w:szCs w:val="22"/>
              </w:rPr>
              <w:t>XV imaging’s</w:t>
            </w:r>
            <w:r w:rsidR="00183E0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to precisely locate and quantify ventilation defects in these mice compared to control mice. </w:t>
            </w:r>
          </w:p>
          <w:p w14:paraId="2F1C8A46" w14:textId="77777777" w:rsidR="00067E2A" w:rsidRDefault="007758D4" w:rsidP="00067E2A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Methods:</w:t>
            </w:r>
            <w:r>
              <w:rPr>
                <w:color w:val="000000"/>
                <w:sz w:val="22"/>
                <w:szCs w:val="22"/>
              </w:rPr>
              <w:t xml:space="preserve"> βENaC mice and their wildtype (WT) littermates underwent XV scans using the </w:t>
            </w:r>
            <w:proofErr w:type="spellStart"/>
            <w:r>
              <w:rPr>
                <w:color w:val="000000"/>
                <w:sz w:val="22"/>
                <w:szCs w:val="22"/>
              </w:rPr>
              <w:t>Permetium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XV scanner (4DMedical). For comparative lung mechanics, lung function assessments were conducted with the </w:t>
            </w:r>
            <w:proofErr w:type="spellStart"/>
            <w:r>
              <w:rPr>
                <w:color w:val="000000"/>
                <w:sz w:val="22"/>
                <w:szCs w:val="22"/>
              </w:rPr>
              <w:t>flexiVent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system. </w:t>
            </w:r>
          </w:p>
          <w:p w14:paraId="6A8D4E5D" w14:textId="77777777" w:rsidR="00067E2A" w:rsidRDefault="007758D4" w:rsidP="00067E2A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Results: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1BD4">
              <w:rPr>
                <w:color w:val="000000"/>
                <w:sz w:val="22"/>
                <w:szCs w:val="22"/>
              </w:rPr>
              <w:t>F</w:t>
            </w:r>
            <w:r w:rsidR="00031BD4">
              <w:rPr>
                <w:color w:val="000000"/>
                <w:sz w:val="22"/>
                <w:szCs w:val="22"/>
                <w:u w:val="single"/>
              </w:rPr>
              <w:t>lexiVent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analysis:</w:t>
            </w:r>
            <w:r>
              <w:rPr>
                <w:color w:val="000000"/>
                <w:sz w:val="22"/>
                <w:szCs w:val="22"/>
              </w:rPr>
              <w:t xml:space="preserve"> βENaC mice displayed a significantly increased inspiratory capacity</w:t>
            </w:r>
            <w:r w:rsidR="007F315D">
              <w:rPr>
                <w:color w:val="000000"/>
                <w:sz w:val="22"/>
                <w:szCs w:val="22"/>
              </w:rPr>
              <w:t xml:space="preserve"> (</w:t>
            </w:r>
            <w:r w:rsidR="007F315D" w:rsidRPr="007F315D">
              <w:rPr>
                <w:i/>
                <w:iCs/>
                <w:color w:val="000000"/>
                <w:sz w:val="22"/>
                <w:szCs w:val="22"/>
              </w:rPr>
              <w:t>p</w:t>
            </w:r>
            <w:r w:rsidR="007F315D">
              <w:rPr>
                <w:color w:val="000000"/>
                <w:sz w:val="22"/>
                <w:szCs w:val="22"/>
              </w:rPr>
              <w:t>&lt;0.0001)</w:t>
            </w:r>
            <w:r>
              <w:rPr>
                <w:color w:val="000000"/>
                <w:sz w:val="22"/>
                <w:szCs w:val="22"/>
              </w:rPr>
              <w:t>, along with an upward shift in the pressure-volume loops compared to WT mice. Interestingly, FEV0.05 was significantly higher in the βENaC mice</w:t>
            </w:r>
            <w:r w:rsidR="007F315D">
              <w:rPr>
                <w:color w:val="000000"/>
                <w:sz w:val="22"/>
                <w:szCs w:val="22"/>
              </w:rPr>
              <w:t xml:space="preserve"> (</w:t>
            </w:r>
            <w:r w:rsidR="007F315D" w:rsidRPr="007F315D">
              <w:rPr>
                <w:i/>
                <w:iCs/>
                <w:color w:val="000000"/>
                <w:sz w:val="22"/>
                <w:szCs w:val="22"/>
              </w:rPr>
              <w:t>p</w:t>
            </w:r>
            <w:r w:rsidR="007F315D">
              <w:rPr>
                <w:color w:val="000000"/>
                <w:sz w:val="22"/>
                <w:szCs w:val="22"/>
              </w:rPr>
              <w:t>&lt;0.0001)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  <w:u w:val="single"/>
              </w:rPr>
              <w:t>XV imaging results:</w:t>
            </w:r>
            <w:r>
              <w:rPr>
                <w:color w:val="000000"/>
                <w:sz w:val="22"/>
                <w:szCs w:val="22"/>
              </w:rPr>
              <w:t xml:space="preserve"> Ventilation defect percentage, mean specific ventilation, and ventilation heterogeneity were significantly higher in βENaC mice than WT mice</w:t>
            </w:r>
            <w:r w:rsidR="007F315D">
              <w:rPr>
                <w:color w:val="000000"/>
                <w:sz w:val="22"/>
                <w:szCs w:val="22"/>
              </w:rPr>
              <w:t xml:space="preserve"> (</w:t>
            </w:r>
            <w:r w:rsidR="007F315D" w:rsidRPr="007F315D">
              <w:rPr>
                <w:i/>
                <w:iCs/>
                <w:color w:val="000000"/>
                <w:sz w:val="22"/>
                <w:szCs w:val="22"/>
              </w:rPr>
              <w:t>p</w:t>
            </w:r>
            <w:r w:rsidR="007F315D">
              <w:rPr>
                <w:color w:val="000000"/>
                <w:sz w:val="22"/>
                <w:szCs w:val="22"/>
              </w:rPr>
              <w:t>&lt;0.0001 for all measures)</w:t>
            </w:r>
            <w:r>
              <w:rPr>
                <w:color w:val="000000"/>
                <w:sz w:val="22"/>
                <w:szCs w:val="22"/>
              </w:rPr>
              <w:t>. Qualitative analysis of the ventilation maps revealed greater variability in specific ventilation in the βENaC mice compared to the WT mice</w:t>
            </w:r>
            <w:r w:rsidR="00601F7B">
              <w:rPr>
                <w:color w:val="000000"/>
                <w:sz w:val="22"/>
                <w:szCs w:val="22"/>
              </w:rPr>
              <w:t xml:space="preserve"> (Figure 1)</w:t>
            </w:r>
            <w:r>
              <w:rPr>
                <w:color w:val="000000"/>
                <w:sz w:val="22"/>
                <w:szCs w:val="22"/>
              </w:rPr>
              <w:t xml:space="preserve">. Spatial analysis of the ventilation maps indicated </w:t>
            </w:r>
            <w:r w:rsidR="00031BD4">
              <w:rPr>
                <w:color w:val="000000"/>
                <w:sz w:val="22"/>
                <w:szCs w:val="22"/>
              </w:rPr>
              <w:t>ventilation</w:t>
            </w:r>
            <w:r>
              <w:rPr>
                <w:color w:val="000000"/>
                <w:sz w:val="22"/>
                <w:szCs w:val="22"/>
              </w:rPr>
              <w:t xml:space="preserve"> variability was more pronounced in peripheral regions of the lungs. </w:t>
            </w:r>
          </w:p>
          <w:p w14:paraId="1D717574" w14:textId="77777777" w:rsidR="00067E2A" w:rsidRDefault="007758D4" w:rsidP="00067E2A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Conclusion:</w:t>
            </w:r>
            <w:r>
              <w:rPr>
                <w:color w:val="000000"/>
                <w:sz w:val="22"/>
                <w:szCs w:val="22"/>
              </w:rPr>
              <w:t xml:space="preserve"> Our study demonstrates that βENaC mice have regions of altered ventilation </w:t>
            </w:r>
            <w:r w:rsidR="00E47739">
              <w:rPr>
                <w:color w:val="000000"/>
                <w:sz w:val="22"/>
                <w:szCs w:val="22"/>
              </w:rPr>
              <w:t>in</w:t>
            </w:r>
            <w:r>
              <w:rPr>
                <w:color w:val="000000"/>
                <w:sz w:val="22"/>
                <w:szCs w:val="22"/>
              </w:rPr>
              <w:t xml:space="preserve"> the peripheral regions of the lungs. These results provide valuable insights into the understanding of the lung function in this</w:t>
            </w:r>
            <w:r w:rsidR="00031BD4">
              <w:rPr>
                <w:color w:val="000000"/>
                <w:sz w:val="22"/>
                <w:szCs w:val="22"/>
              </w:rPr>
              <w:t xml:space="preserve"> lung disease</w:t>
            </w:r>
            <w:r>
              <w:rPr>
                <w:color w:val="000000"/>
                <w:sz w:val="22"/>
                <w:szCs w:val="22"/>
              </w:rPr>
              <w:t xml:space="preserve"> animal model and the potential of XV imaging in assessing airway ventilation defects.</w:t>
            </w:r>
            <w:r w:rsidR="00031BD4">
              <w:rPr>
                <w:color w:val="000000"/>
                <w:sz w:val="22"/>
                <w:szCs w:val="22"/>
              </w:rPr>
              <w:t xml:space="preserve"> </w:t>
            </w:r>
          </w:p>
          <w:p w14:paraId="300E7DFD" w14:textId="69EF3D24" w:rsidR="007758D4" w:rsidRDefault="007758D4" w:rsidP="00067E2A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Grant Support</w:t>
            </w:r>
            <w:r w:rsidR="00067E2A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7758D4">
              <w:rPr>
                <w:color w:val="000000"/>
                <w:sz w:val="22"/>
                <w:szCs w:val="22"/>
              </w:rPr>
              <w:t>MRF</w:t>
            </w:r>
            <w:r w:rsidR="002934A7">
              <w:rPr>
                <w:color w:val="000000"/>
                <w:sz w:val="22"/>
                <w:szCs w:val="22"/>
              </w:rPr>
              <w:t>F</w:t>
            </w:r>
            <w:r w:rsidR="001564A4">
              <w:rPr>
                <w:sz w:val="22"/>
                <w:szCs w:val="22"/>
              </w:rPr>
              <w:br/>
            </w:r>
            <w:r w:rsidR="009947A5">
              <w:rPr>
                <w:noProof/>
              </w:rPr>
              <w:drawing>
                <wp:inline distT="0" distB="0" distL="0" distR="0" wp14:anchorId="46E67752" wp14:editId="05F5D9EE">
                  <wp:extent cx="3067050" cy="983655"/>
                  <wp:effectExtent l="0" t="0" r="0" b="6985"/>
                  <wp:docPr id="858788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788297" name=""/>
                          <pic:cNvPicPr/>
                        </pic:nvPicPr>
                        <pic:blipFill rotWithShape="1">
                          <a:blip r:embed="rId7"/>
                          <a:srcRect b="5666"/>
                          <a:stretch/>
                        </pic:blipFill>
                        <pic:spPr bwMode="auto">
                          <a:xfrm>
                            <a:off x="0" y="0"/>
                            <a:ext cx="3080349" cy="987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61549B" w14:textId="1EA7B273" w:rsidR="001564A4" w:rsidRPr="002934A7" w:rsidRDefault="007758D4" w:rsidP="007410A5">
            <w:pPr>
              <w:pStyle w:val="Pa12"/>
              <w:jc w:val="both"/>
              <w:rPr>
                <w:sz w:val="16"/>
                <w:szCs w:val="16"/>
              </w:rPr>
            </w:pPr>
            <w:r w:rsidRPr="002934A7">
              <w:rPr>
                <w:b/>
                <w:bCs/>
                <w:color w:val="000000"/>
                <w:sz w:val="16"/>
                <w:szCs w:val="16"/>
              </w:rPr>
              <w:t>Figure 1: Example XV ventilation maps.</w:t>
            </w:r>
            <w:r w:rsidRPr="002934A7">
              <w:rPr>
                <w:color w:val="000000"/>
                <w:sz w:val="16"/>
                <w:szCs w:val="16"/>
              </w:rPr>
              <w:t xml:space="preserve"> 4D mid-lung ventilation maps (axial</w:t>
            </w:r>
            <w:r w:rsidR="0060023D">
              <w:rPr>
                <w:color w:val="000000"/>
                <w:sz w:val="16"/>
                <w:szCs w:val="16"/>
              </w:rPr>
              <w:t xml:space="preserve"> (22)</w:t>
            </w:r>
            <w:r w:rsidRPr="002934A7">
              <w:rPr>
                <w:color w:val="000000"/>
                <w:sz w:val="16"/>
                <w:szCs w:val="16"/>
              </w:rPr>
              <w:t xml:space="preserve"> and coronal </w:t>
            </w:r>
            <w:r w:rsidR="00031BD4">
              <w:rPr>
                <w:color w:val="000000"/>
                <w:sz w:val="16"/>
                <w:szCs w:val="16"/>
              </w:rPr>
              <w:t xml:space="preserve">(5) </w:t>
            </w:r>
            <w:r w:rsidRPr="002934A7">
              <w:rPr>
                <w:color w:val="000000"/>
                <w:sz w:val="16"/>
                <w:szCs w:val="16"/>
              </w:rPr>
              <w:t>slice numbers shown) in βENaC mice and control. Green = mean ventilation, red = below average, blue = above average. βENaC mice showed concentrations of extremes of ventilation in peripheral regions.</w:t>
            </w:r>
            <w:r w:rsidR="007F315D">
              <w:rPr>
                <w:color w:val="000000"/>
                <w:sz w:val="16"/>
                <w:szCs w:val="16"/>
              </w:rPr>
              <w:t xml:space="preserve"> (‘L’ refers to left lung and ‘R’ refers to right lung in the ventilation maps).</w:t>
            </w:r>
          </w:p>
          <w:p w14:paraId="18F77515" w14:textId="2DD894C7" w:rsidR="001564A4" w:rsidRPr="0050053A" w:rsidRDefault="001564A4" w:rsidP="007410A5">
            <w:pPr>
              <w:pStyle w:val="Pa12"/>
              <w:jc w:val="both"/>
              <w:rPr>
                <w:sz w:val="22"/>
                <w:szCs w:val="22"/>
              </w:rPr>
            </w:pPr>
          </w:p>
          <w:p w14:paraId="68537800" w14:textId="77777777" w:rsidR="001564A4" w:rsidRPr="0050053A" w:rsidRDefault="001564A4" w:rsidP="007410A5">
            <w:pPr>
              <w:pStyle w:val="Pa12"/>
              <w:jc w:val="both"/>
              <w:rPr>
                <w:rStyle w:val="A4"/>
                <w:bCs/>
              </w:rPr>
            </w:pPr>
          </w:p>
          <w:p w14:paraId="7F8381F0" w14:textId="77777777" w:rsidR="001564A4" w:rsidRDefault="001564A4" w:rsidP="007410A5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7410A5">
            <w:pPr>
              <w:pStyle w:val="Default"/>
              <w:jc w:val="both"/>
            </w:pPr>
          </w:p>
          <w:p w14:paraId="34BF0A0F" w14:textId="77777777" w:rsidR="001564A4" w:rsidRPr="003E35F0" w:rsidRDefault="001564A4" w:rsidP="007410A5">
            <w:pPr>
              <w:pStyle w:val="Default"/>
              <w:jc w:val="both"/>
            </w:pPr>
          </w:p>
          <w:p w14:paraId="1FF1A88F" w14:textId="77777777" w:rsidR="001564A4" w:rsidRPr="0050053A" w:rsidRDefault="001564A4" w:rsidP="007410A5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7410A5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7410A5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7C723E1F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1BD4"/>
    <w:rsid w:val="00067E2A"/>
    <w:rsid w:val="001564A4"/>
    <w:rsid w:val="00183E07"/>
    <w:rsid w:val="002338A2"/>
    <w:rsid w:val="002934A7"/>
    <w:rsid w:val="00315837"/>
    <w:rsid w:val="003910A7"/>
    <w:rsid w:val="003F5E2D"/>
    <w:rsid w:val="004D4856"/>
    <w:rsid w:val="0051574E"/>
    <w:rsid w:val="0060023D"/>
    <w:rsid w:val="00601F7B"/>
    <w:rsid w:val="007410A5"/>
    <w:rsid w:val="007758D4"/>
    <w:rsid w:val="007F315D"/>
    <w:rsid w:val="008803FA"/>
    <w:rsid w:val="009947A5"/>
    <w:rsid w:val="00AE5BC9"/>
    <w:rsid w:val="00B12E32"/>
    <w:rsid w:val="00CC1629"/>
    <w:rsid w:val="00E0700F"/>
    <w:rsid w:val="00E4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D4856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Nikki Reyne</cp:lastModifiedBy>
  <cp:revision>17</cp:revision>
  <dcterms:created xsi:type="dcterms:W3CDTF">2023-10-16T04:14:00Z</dcterms:created>
  <dcterms:modified xsi:type="dcterms:W3CDTF">2023-10-18T05:23:00Z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