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E745F" w14:textId="77777777" w:rsidR="00550983" w:rsidRDefault="00550983" w:rsidP="1E2828A5">
      <w:pPr>
        <w:rPr>
          <w:rFonts w:ascii="Arial" w:eastAsia="Arial" w:hAnsi="Arial" w:cs="Arial"/>
        </w:rPr>
      </w:pPr>
    </w:p>
    <w:p w14:paraId="79A44BBA" w14:textId="77777777" w:rsidR="00550983" w:rsidRDefault="00550983" w:rsidP="1E2828A5">
      <w:pPr>
        <w:rPr>
          <w:rFonts w:ascii="Arial" w:eastAsia="Arial" w:hAnsi="Arial" w:cs="Arial"/>
        </w:rPr>
      </w:pPr>
    </w:p>
    <w:p w14:paraId="5A9C77CC" w14:textId="13F358D9" w:rsidR="00550983" w:rsidRPr="00550983" w:rsidRDefault="00550983" w:rsidP="1E2828A5">
      <w:pPr>
        <w:rPr>
          <w:rFonts w:ascii="Arial" w:eastAsia="Arial" w:hAnsi="Arial" w:cs="Arial"/>
          <w:b/>
          <w:bCs/>
        </w:rPr>
      </w:pPr>
      <w:r w:rsidRPr="00550983">
        <w:rPr>
          <w:rFonts w:ascii="Arial" w:eastAsia="Arial" w:hAnsi="Arial" w:cs="Arial"/>
          <w:b/>
          <w:bCs/>
        </w:rPr>
        <w:t>Machine learning–based clustering of macrovascular complications in diabetic foot disease: a real-world regional Australian cohort</w:t>
      </w:r>
    </w:p>
    <w:p w14:paraId="601A0C97" w14:textId="77777777" w:rsidR="00550983" w:rsidRDefault="00550983" w:rsidP="1E2828A5">
      <w:pPr>
        <w:rPr>
          <w:rFonts w:ascii="Arial" w:eastAsia="Arial" w:hAnsi="Arial" w:cs="Arial"/>
        </w:rPr>
      </w:pPr>
    </w:p>
    <w:p w14:paraId="20B7ED35" w14:textId="3FACB7F5" w:rsidR="00343823" w:rsidRPr="00343823" w:rsidRDefault="008F6597" w:rsidP="1E2828A5">
      <w:pPr>
        <w:rPr>
          <w:rFonts w:ascii="Arial" w:eastAsia="Arial" w:hAnsi="Arial" w:cs="Arial"/>
        </w:rPr>
      </w:pPr>
      <w:r>
        <w:rPr>
          <w:rFonts w:ascii="Arial" w:eastAsia="Arial" w:hAnsi="Arial" w:cs="Arial"/>
        </w:rPr>
        <w:t>Aims</w:t>
      </w:r>
      <w:r w:rsidR="00726596">
        <w:rPr>
          <w:rFonts w:ascii="Arial" w:eastAsia="Arial" w:hAnsi="Arial" w:cs="Arial"/>
        </w:rPr>
        <w:t>:</w:t>
      </w:r>
      <w:r w:rsidR="00343823">
        <w:br/>
      </w:r>
      <w:proofErr w:type="gramStart"/>
      <w:r w:rsidR="709A858B" w:rsidRPr="1E2828A5">
        <w:rPr>
          <w:rFonts w:ascii="Arial" w:eastAsia="Arial" w:hAnsi="Arial" w:cs="Arial"/>
        </w:rPr>
        <w:t>Macrovascular disease</w:t>
      </w:r>
      <w:proofErr w:type="gramEnd"/>
      <w:r w:rsidR="709A858B" w:rsidRPr="1E2828A5">
        <w:rPr>
          <w:rFonts w:ascii="Arial" w:eastAsia="Arial" w:hAnsi="Arial" w:cs="Arial"/>
        </w:rPr>
        <w:t xml:space="preserve"> is highly prevalent among people with diabetic foot ulceration (DFU), yet the extent to which macrovascular complications cluster within this population and define clinically meaningful phenotypes remains poorly understood. We aimed to identify latent macrovascular phenotypes among individuals with DFU and to characterise their demographic and clinical profiles.</w:t>
      </w:r>
    </w:p>
    <w:p w14:paraId="4B13DB67" w14:textId="365F9F01" w:rsidR="00343823" w:rsidRPr="00343823" w:rsidRDefault="709A858B" w:rsidP="1E2828A5">
      <w:pPr>
        <w:rPr>
          <w:rFonts w:ascii="Arial" w:eastAsia="Arial" w:hAnsi="Arial" w:cs="Arial"/>
        </w:rPr>
      </w:pPr>
      <w:r w:rsidRPr="1E2828A5">
        <w:rPr>
          <w:rFonts w:ascii="Arial" w:eastAsia="Arial" w:hAnsi="Arial" w:cs="Arial"/>
        </w:rPr>
        <w:t>Methods:</w:t>
      </w:r>
      <w:r w:rsidR="00343823">
        <w:br/>
      </w:r>
      <w:r w:rsidRPr="1E2828A5">
        <w:rPr>
          <w:rFonts w:ascii="Arial" w:eastAsia="Arial" w:hAnsi="Arial" w:cs="Arial"/>
        </w:rPr>
        <w:t>We conducted a retrospective observational study of adults with diabetes and DFU (n = 381)</w:t>
      </w:r>
      <w:r w:rsidR="317EAC1B" w:rsidRPr="1E2828A5">
        <w:rPr>
          <w:rFonts w:ascii="Arial" w:eastAsia="Arial" w:hAnsi="Arial" w:cs="Arial"/>
        </w:rPr>
        <w:t xml:space="preserve"> in Townsville University Hospital in Queensland</w:t>
      </w:r>
      <w:r w:rsidRPr="1E2828A5">
        <w:rPr>
          <w:rFonts w:ascii="Arial" w:eastAsia="Arial" w:hAnsi="Arial" w:cs="Arial"/>
        </w:rPr>
        <w:t xml:space="preserve">. Latent class analysis (LCA) was performed using four macrovascular indicators: ischaemic heart disease (IHD), stroke, peripheral vascular disease (PVD), and heart failure. Model selection was guided by Akaike and Bayesian information criteria. </w:t>
      </w:r>
    </w:p>
    <w:p w14:paraId="53D4CD64" w14:textId="06095E4B" w:rsidR="00343823" w:rsidRPr="00343823" w:rsidRDefault="709A858B" w:rsidP="1E2828A5">
      <w:pPr>
        <w:rPr>
          <w:rFonts w:ascii="Arial" w:eastAsia="Arial" w:hAnsi="Arial" w:cs="Arial"/>
        </w:rPr>
      </w:pPr>
      <w:r w:rsidRPr="1E2828A5">
        <w:rPr>
          <w:rFonts w:ascii="Arial" w:eastAsia="Arial" w:hAnsi="Arial" w:cs="Arial"/>
        </w:rPr>
        <w:t>Results:</w:t>
      </w:r>
      <w:r w:rsidR="00343823">
        <w:br/>
      </w:r>
      <w:r w:rsidRPr="1E2828A5">
        <w:rPr>
          <w:rFonts w:ascii="Arial" w:eastAsia="Arial" w:hAnsi="Arial" w:cs="Arial"/>
        </w:rPr>
        <w:t>A two-class solution provided the best model fit. Class 1 (n = 94, 24.7%) represented a high macrovascular burden phenotype, while Class 2 (n = 287, 75.3%) represented a lower macrovascular burden phenotype. Individuals in Class 1 were older (68.8 ± 11.5 vs 63.9 ± 13.4 years; p = 0.001) and had significantly worse renal function (eGFR 51.1 ± 27.0 vs 63.6 ± 25.6 mL/min/1.73 m²; p &lt; 0.001). Hypertension, dyslipidaemia, and chronic kidney disease were substantially more prevalent in Class 1 (all p ≤ 0.002). Current smoking was more common in the high macrovascular burden phenotype (40.4% vs 26.5%; p = 0.001) Macrovascular conditions were markedly enriched in Class 1, including IHD (91.5% vs 18.1%;), stroke (34.0% vs 4.2%), PVD (75.5% vs 22.3%), and heart failure (50.0% vs 7.7%) (all p &lt; 0.001). Glycaemic control (HbA1c) did not differ significantly between classes.</w:t>
      </w:r>
    </w:p>
    <w:p w14:paraId="25D86067" w14:textId="293F38C4" w:rsidR="00343823" w:rsidRPr="00343823" w:rsidRDefault="709A858B" w:rsidP="1E2828A5">
      <w:pPr>
        <w:rPr>
          <w:rFonts w:ascii="Arial" w:eastAsia="Arial" w:hAnsi="Arial" w:cs="Arial"/>
        </w:rPr>
      </w:pPr>
      <w:r w:rsidRPr="1E2828A5">
        <w:rPr>
          <w:rFonts w:ascii="Arial" w:eastAsia="Arial" w:hAnsi="Arial" w:cs="Arial"/>
        </w:rPr>
        <w:t>Conclusions:</w:t>
      </w:r>
      <w:r w:rsidR="00343823">
        <w:br/>
      </w:r>
      <w:r w:rsidRPr="1E2828A5">
        <w:rPr>
          <w:rFonts w:ascii="Arial" w:eastAsia="Arial" w:hAnsi="Arial" w:cs="Arial"/>
        </w:rPr>
        <w:t>Among people with DFU, LCA identified a distinct high-risk polyvascular phenotype characterised by older age, renal dysfunction, smoking, and a heavy burden of cardiovascular disease. Further prospective studies are needed to validate these phenotypes and to determine whether targeted cardiovascular and smoking-cessation interventions can improve clinical outcomes in this high-risk population.</w:t>
      </w:r>
    </w:p>
    <w:p w14:paraId="3875F9A3" w14:textId="4E55CF6C" w:rsidR="00AC629B" w:rsidRPr="00343823" w:rsidRDefault="00AC629B" w:rsidP="00343823"/>
    <w:sectPr w:rsidR="00AC629B" w:rsidRPr="003438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23"/>
    <w:rsid w:val="00001AB2"/>
    <w:rsid w:val="0004129D"/>
    <w:rsid w:val="00343823"/>
    <w:rsid w:val="004D6D2F"/>
    <w:rsid w:val="00550983"/>
    <w:rsid w:val="00577D14"/>
    <w:rsid w:val="0072178A"/>
    <w:rsid w:val="00726596"/>
    <w:rsid w:val="008F159A"/>
    <w:rsid w:val="008F6597"/>
    <w:rsid w:val="00AC629B"/>
    <w:rsid w:val="00D271E5"/>
    <w:rsid w:val="00F84936"/>
    <w:rsid w:val="1E2828A5"/>
    <w:rsid w:val="316C8491"/>
    <w:rsid w:val="317EAC1B"/>
    <w:rsid w:val="709A858B"/>
    <w:rsid w:val="715E1163"/>
    <w:rsid w:val="77065F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DFF2"/>
  <w15:chartTrackingRefBased/>
  <w15:docId w15:val="{04609790-518B-4F05-AC70-0C0AD469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823"/>
    <w:rPr>
      <w:rFonts w:eastAsiaTheme="majorEastAsia" w:cstheme="majorBidi"/>
      <w:color w:val="272727" w:themeColor="text1" w:themeTint="D8"/>
    </w:rPr>
  </w:style>
  <w:style w:type="paragraph" w:styleId="Title">
    <w:name w:val="Title"/>
    <w:basedOn w:val="Normal"/>
    <w:next w:val="Normal"/>
    <w:link w:val="TitleChar"/>
    <w:uiPriority w:val="10"/>
    <w:qFormat/>
    <w:rsid w:val="00343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823"/>
    <w:pPr>
      <w:spacing w:before="160"/>
      <w:jc w:val="center"/>
    </w:pPr>
    <w:rPr>
      <w:i/>
      <w:iCs/>
      <w:color w:val="404040" w:themeColor="text1" w:themeTint="BF"/>
    </w:rPr>
  </w:style>
  <w:style w:type="character" w:customStyle="1" w:styleId="QuoteChar">
    <w:name w:val="Quote Char"/>
    <w:basedOn w:val="DefaultParagraphFont"/>
    <w:link w:val="Quote"/>
    <w:uiPriority w:val="29"/>
    <w:rsid w:val="00343823"/>
    <w:rPr>
      <w:i/>
      <w:iCs/>
      <w:color w:val="404040" w:themeColor="text1" w:themeTint="BF"/>
    </w:rPr>
  </w:style>
  <w:style w:type="paragraph" w:styleId="ListParagraph">
    <w:name w:val="List Paragraph"/>
    <w:basedOn w:val="Normal"/>
    <w:uiPriority w:val="34"/>
    <w:qFormat/>
    <w:rsid w:val="00343823"/>
    <w:pPr>
      <w:ind w:left="720"/>
      <w:contextualSpacing/>
    </w:pPr>
  </w:style>
  <w:style w:type="character" w:styleId="IntenseEmphasis">
    <w:name w:val="Intense Emphasis"/>
    <w:basedOn w:val="DefaultParagraphFont"/>
    <w:uiPriority w:val="21"/>
    <w:qFormat/>
    <w:rsid w:val="00343823"/>
    <w:rPr>
      <w:i/>
      <w:iCs/>
      <w:color w:val="0F4761" w:themeColor="accent1" w:themeShade="BF"/>
    </w:rPr>
  </w:style>
  <w:style w:type="paragraph" w:styleId="IntenseQuote">
    <w:name w:val="Intense Quote"/>
    <w:basedOn w:val="Normal"/>
    <w:next w:val="Normal"/>
    <w:link w:val="IntenseQuoteChar"/>
    <w:uiPriority w:val="30"/>
    <w:qFormat/>
    <w:rsid w:val="00343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823"/>
    <w:rPr>
      <w:i/>
      <w:iCs/>
      <w:color w:val="0F4761" w:themeColor="accent1" w:themeShade="BF"/>
    </w:rPr>
  </w:style>
  <w:style w:type="character" w:styleId="IntenseReference">
    <w:name w:val="Intense Reference"/>
    <w:basedOn w:val="DefaultParagraphFont"/>
    <w:uiPriority w:val="32"/>
    <w:qFormat/>
    <w:rsid w:val="003438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ADC177-A016-4ADE-A0F1-49FF31581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9853F-FFCB-43D6-B9BF-E2EBBF7AFE2C}">
  <ds:schemaRefs>
    <ds:schemaRef ds:uri="http://schemas.microsoft.com/sharepoint/v3/contenttype/forms"/>
  </ds:schemaRefs>
</ds:datastoreItem>
</file>

<file path=customXml/itemProps3.xml><?xml version="1.0" encoding="utf-8"?>
<ds:datastoreItem xmlns:ds="http://schemas.openxmlformats.org/officeDocument/2006/customXml" ds:itemID="{88322367-0856-44EE-8A41-50AFA9BB2764}">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1907</Characters>
  <Application>Microsoft Office Word</Application>
  <DocSecurity>0</DocSecurity>
  <Lines>32</Lines>
  <Paragraphs>7</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Deshmukh</dc:creator>
  <cp:keywords/>
  <dc:description/>
  <cp:lastModifiedBy>Tanya Yandall</cp:lastModifiedBy>
  <cp:revision>3</cp:revision>
  <dcterms:created xsi:type="dcterms:W3CDTF">2026-02-16T20:55:00Z</dcterms:created>
  <dcterms:modified xsi:type="dcterms:W3CDTF">2026-02-16T20:55:00Z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