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06"/>
      </w:tblGrid>
      <w:tr w:rsidR="001564A4" w:rsidRPr="0050053A" w14:paraId="5C38377B" w14:textId="77777777" w:rsidTr="00DB049D">
        <w:trPr>
          <w:trHeight w:val="709"/>
          <w:jc w:val="center"/>
        </w:trPr>
        <w:tc>
          <w:tcPr>
            <w:tcW w:w="9206" w:type="dxa"/>
            <w:shd w:val="clear" w:color="auto" w:fill="auto"/>
          </w:tcPr>
          <w:p w14:paraId="5C44F357" w14:textId="028C1FA6" w:rsidR="001564A4" w:rsidRPr="0050053A" w:rsidRDefault="004412E1" w:rsidP="000A28E2">
            <w:pPr>
              <w:spacing w:before="120" w:after="120"/>
              <w:rPr>
                <w:rFonts w:ascii="Arial" w:hAnsi="Arial" w:cs="Arial"/>
                <w:b/>
                <w:sz w:val="22"/>
                <w:szCs w:val="22"/>
                <w:lang w:val="en-US" w:eastAsia="zh-CN"/>
              </w:rPr>
            </w:pPr>
            <w:r w:rsidRPr="004412E1">
              <w:rPr>
                <w:rFonts w:ascii="Arial" w:hAnsi="Arial" w:cs="Arial"/>
                <w:b/>
                <w:sz w:val="22"/>
                <w:szCs w:val="22"/>
                <w:lang w:val="en-US" w:eastAsia="en-GB"/>
              </w:rPr>
              <w:t>Intrapleural Fibrinolytic Therapy Outcomes in a regional NSW hospital</w:t>
            </w:r>
          </w:p>
        </w:tc>
      </w:tr>
      <w:tr w:rsidR="001564A4" w:rsidRPr="0050053A" w14:paraId="0E2E035C" w14:textId="77777777" w:rsidTr="00DB049D">
        <w:trPr>
          <w:trHeight w:val="688"/>
          <w:jc w:val="center"/>
        </w:trPr>
        <w:tc>
          <w:tcPr>
            <w:tcW w:w="9206" w:type="dxa"/>
            <w:shd w:val="clear" w:color="auto" w:fill="auto"/>
          </w:tcPr>
          <w:p w14:paraId="73B55295" w14:textId="3D9D649E" w:rsidR="00EE1D87" w:rsidRPr="004412E1" w:rsidRDefault="004412E1" w:rsidP="08E37917">
            <w:pPr>
              <w:spacing w:before="120" w:after="120"/>
              <w:rPr>
                <w:rFonts w:ascii="Arial" w:hAnsi="Arial" w:cs="Arial"/>
                <w:sz w:val="22"/>
                <w:szCs w:val="22"/>
                <w:vertAlign w:val="superscript"/>
                <w:lang w:val="en-US" w:eastAsia="en-GB"/>
              </w:rPr>
            </w:pPr>
            <w:r w:rsidRPr="08E37917">
              <w:rPr>
                <w:rFonts w:ascii="Arial" w:hAnsi="Arial" w:cs="Arial"/>
                <w:sz w:val="22"/>
                <w:szCs w:val="22"/>
                <w:lang w:val="en-US" w:eastAsia="en-GB"/>
              </w:rPr>
              <w:t>Chan D</w:t>
            </w:r>
            <w:r w:rsidR="3734FF58" w:rsidRPr="08E37917">
              <w:rPr>
                <w:rFonts w:ascii="Arial" w:hAnsi="Arial" w:cs="Arial"/>
                <w:sz w:val="22"/>
                <w:szCs w:val="22"/>
                <w:lang w:val="en-US" w:eastAsia="en-GB"/>
              </w:rPr>
              <w:t xml:space="preserve"> </w:t>
            </w:r>
            <w:r w:rsidR="3734FF58" w:rsidRPr="08E37917">
              <w:rPr>
                <w:rFonts w:ascii="Arial" w:hAnsi="Arial" w:cs="Arial"/>
                <w:sz w:val="22"/>
                <w:szCs w:val="22"/>
                <w:vertAlign w:val="superscript"/>
                <w:lang w:val="en-US" w:eastAsia="en-GB"/>
              </w:rPr>
              <w:t>1</w:t>
            </w:r>
            <w:r w:rsidRPr="08E37917">
              <w:rPr>
                <w:rFonts w:ascii="Arial" w:hAnsi="Arial" w:cs="Arial"/>
                <w:sz w:val="22"/>
                <w:szCs w:val="22"/>
                <w:lang w:val="en-US" w:eastAsia="en-GB"/>
              </w:rPr>
              <w:t>, Farshid S</w:t>
            </w:r>
            <w:r w:rsidR="7DF57CA4" w:rsidRPr="08E37917">
              <w:rPr>
                <w:rFonts w:ascii="Arial" w:hAnsi="Arial" w:cs="Arial"/>
                <w:sz w:val="22"/>
                <w:szCs w:val="22"/>
                <w:lang w:val="en-US" w:eastAsia="en-GB"/>
              </w:rPr>
              <w:t xml:space="preserve"> </w:t>
            </w:r>
            <w:r w:rsidR="7DF57CA4" w:rsidRPr="08E37917">
              <w:rPr>
                <w:rFonts w:ascii="Arial" w:hAnsi="Arial" w:cs="Arial"/>
                <w:sz w:val="22"/>
                <w:szCs w:val="22"/>
                <w:vertAlign w:val="superscript"/>
                <w:lang w:val="en-US" w:eastAsia="en-GB"/>
              </w:rPr>
              <w:t>1,2</w:t>
            </w:r>
            <w:r w:rsidRPr="08E37917">
              <w:rPr>
                <w:rFonts w:ascii="Arial" w:hAnsi="Arial" w:cs="Arial"/>
                <w:sz w:val="22"/>
                <w:szCs w:val="22"/>
                <w:lang w:val="en-US" w:eastAsia="en-GB"/>
              </w:rPr>
              <w:t>, Mar C</w:t>
            </w:r>
            <w:r w:rsidR="22E624EE" w:rsidRPr="08E37917">
              <w:rPr>
                <w:rFonts w:ascii="Arial" w:hAnsi="Arial" w:cs="Arial"/>
                <w:sz w:val="22"/>
                <w:szCs w:val="22"/>
                <w:lang w:val="en-US" w:eastAsia="en-GB"/>
              </w:rPr>
              <w:t xml:space="preserve"> </w:t>
            </w:r>
            <w:r w:rsidR="22E624EE" w:rsidRPr="08E37917">
              <w:rPr>
                <w:rFonts w:ascii="Arial" w:hAnsi="Arial" w:cs="Arial"/>
                <w:sz w:val="22"/>
                <w:szCs w:val="22"/>
                <w:vertAlign w:val="superscript"/>
                <w:lang w:val="en-US" w:eastAsia="en-GB"/>
              </w:rPr>
              <w:t>1</w:t>
            </w:r>
            <w:r w:rsidRPr="08E37917">
              <w:rPr>
                <w:rFonts w:ascii="Arial" w:hAnsi="Arial" w:cs="Arial"/>
                <w:sz w:val="22"/>
                <w:szCs w:val="22"/>
                <w:lang w:val="en-US" w:eastAsia="en-GB"/>
              </w:rPr>
              <w:t>, Nelson G</w:t>
            </w:r>
            <w:r w:rsidR="3EC6A860" w:rsidRPr="08E37917">
              <w:rPr>
                <w:rFonts w:ascii="Arial" w:hAnsi="Arial" w:cs="Arial"/>
                <w:sz w:val="22"/>
                <w:szCs w:val="22"/>
                <w:lang w:val="en-US" w:eastAsia="en-GB"/>
              </w:rPr>
              <w:t xml:space="preserve"> </w:t>
            </w:r>
            <w:r w:rsidR="3EC6A860" w:rsidRPr="08E37917">
              <w:rPr>
                <w:rFonts w:ascii="Arial" w:hAnsi="Arial" w:cs="Arial"/>
                <w:sz w:val="22"/>
                <w:szCs w:val="22"/>
                <w:vertAlign w:val="superscript"/>
                <w:lang w:val="en-US" w:eastAsia="en-GB"/>
              </w:rPr>
              <w:t>1</w:t>
            </w:r>
            <w:r w:rsidRPr="08E37917">
              <w:rPr>
                <w:rFonts w:ascii="Arial" w:hAnsi="Arial" w:cs="Arial"/>
                <w:sz w:val="22"/>
                <w:szCs w:val="22"/>
                <w:lang w:val="en-US" w:eastAsia="en-GB"/>
              </w:rPr>
              <w:t>, Ainge-Allen H</w:t>
            </w:r>
            <w:r w:rsidR="536AF402" w:rsidRPr="08E37917">
              <w:rPr>
                <w:rFonts w:ascii="Arial" w:hAnsi="Arial" w:cs="Arial"/>
                <w:sz w:val="22"/>
                <w:szCs w:val="22"/>
                <w:lang w:val="en-US" w:eastAsia="en-GB"/>
              </w:rPr>
              <w:t xml:space="preserve"> </w:t>
            </w:r>
            <w:r w:rsidR="536AF402" w:rsidRPr="08E37917">
              <w:rPr>
                <w:rFonts w:ascii="Arial" w:hAnsi="Arial" w:cs="Arial"/>
                <w:sz w:val="22"/>
                <w:szCs w:val="22"/>
                <w:vertAlign w:val="superscript"/>
                <w:lang w:val="en-US" w:eastAsia="en-GB"/>
              </w:rPr>
              <w:t>1</w:t>
            </w:r>
            <w:r w:rsidR="192F6E74" w:rsidRPr="08E37917">
              <w:rPr>
                <w:rFonts w:ascii="Arial" w:hAnsi="Arial" w:cs="Arial"/>
                <w:sz w:val="22"/>
                <w:szCs w:val="22"/>
                <w:vertAlign w:val="superscript"/>
                <w:lang w:val="en-US" w:eastAsia="en-GB"/>
              </w:rPr>
              <w:t>,</w:t>
            </w:r>
            <w:r w:rsidR="06F06ED7" w:rsidRPr="08E37917">
              <w:rPr>
                <w:rFonts w:ascii="Arial" w:hAnsi="Arial" w:cs="Arial"/>
                <w:sz w:val="22"/>
                <w:szCs w:val="22"/>
                <w:vertAlign w:val="superscript"/>
                <w:lang w:val="en-US" w:eastAsia="en-GB"/>
              </w:rPr>
              <w:t>3</w:t>
            </w:r>
            <w:r w:rsidRPr="08E37917">
              <w:rPr>
                <w:rFonts w:ascii="Arial" w:hAnsi="Arial" w:cs="Arial"/>
                <w:sz w:val="22"/>
                <w:szCs w:val="22"/>
                <w:lang w:val="en-US" w:eastAsia="en-GB"/>
              </w:rPr>
              <w:t>, Prabhakar C</w:t>
            </w:r>
            <w:r w:rsidR="025470B8" w:rsidRPr="08E37917">
              <w:rPr>
                <w:rFonts w:ascii="Arial" w:hAnsi="Arial" w:cs="Arial"/>
                <w:sz w:val="22"/>
                <w:szCs w:val="22"/>
                <w:lang w:val="en-US" w:eastAsia="en-GB"/>
              </w:rPr>
              <w:t xml:space="preserve"> </w:t>
            </w:r>
            <w:r w:rsidR="025470B8" w:rsidRPr="08E37917">
              <w:rPr>
                <w:rFonts w:ascii="Arial" w:hAnsi="Arial" w:cs="Arial"/>
                <w:sz w:val="22"/>
                <w:szCs w:val="22"/>
                <w:vertAlign w:val="superscript"/>
                <w:lang w:val="en-US" w:eastAsia="en-GB"/>
              </w:rPr>
              <w:t>1</w:t>
            </w:r>
            <w:r w:rsidR="75BD7B62" w:rsidRPr="08E37917">
              <w:rPr>
                <w:rFonts w:ascii="Arial" w:hAnsi="Arial" w:cs="Arial"/>
                <w:sz w:val="22"/>
                <w:szCs w:val="22"/>
                <w:vertAlign w:val="superscript"/>
                <w:lang w:val="en-US" w:eastAsia="en-GB"/>
              </w:rPr>
              <w:t>,</w:t>
            </w:r>
            <w:r w:rsidR="33E6F6E4" w:rsidRPr="08E37917">
              <w:rPr>
                <w:rFonts w:ascii="Arial" w:hAnsi="Arial" w:cs="Arial"/>
                <w:sz w:val="22"/>
                <w:szCs w:val="22"/>
                <w:vertAlign w:val="superscript"/>
                <w:lang w:val="en-US" w:eastAsia="en-GB"/>
              </w:rPr>
              <w:t>3</w:t>
            </w:r>
          </w:p>
        </w:tc>
      </w:tr>
      <w:tr w:rsidR="001564A4" w:rsidRPr="0050053A" w14:paraId="385A19D9" w14:textId="77777777" w:rsidTr="00DB049D">
        <w:trPr>
          <w:trHeight w:val="193"/>
          <w:jc w:val="center"/>
        </w:trPr>
        <w:tc>
          <w:tcPr>
            <w:tcW w:w="9206" w:type="dxa"/>
            <w:shd w:val="clear" w:color="auto" w:fill="auto"/>
          </w:tcPr>
          <w:p w14:paraId="1643A330" w14:textId="495F37D5" w:rsidR="001564A4" w:rsidRPr="0050053A" w:rsidRDefault="001564A4" w:rsidP="000A28E2">
            <w:pPr>
              <w:spacing w:before="120" w:after="120"/>
              <w:rPr>
                <w:rFonts w:ascii="Arial" w:hAnsi="Arial" w:cs="Arial"/>
                <w:i/>
                <w:sz w:val="22"/>
                <w:szCs w:val="22"/>
                <w:lang w:val="en-US" w:eastAsia="en-GB"/>
              </w:rPr>
            </w:pPr>
            <w:r w:rsidRPr="0050053A">
              <w:rPr>
                <w:rFonts w:ascii="Arial" w:hAnsi="Arial" w:cs="Arial"/>
                <w:i/>
                <w:sz w:val="22"/>
                <w:szCs w:val="22"/>
                <w:vertAlign w:val="superscript"/>
                <w:lang w:val="en-US" w:eastAsia="en-GB"/>
              </w:rPr>
              <w:t>1</w:t>
            </w:r>
            <w:r w:rsidR="004412E1">
              <w:rPr>
                <w:rFonts w:ascii="Arial" w:hAnsi="Arial" w:cs="Arial"/>
                <w:i/>
                <w:sz w:val="22"/>
                <w:szCs w:val="22"/>
                <w:lang w:val="en-US" w:eastAsia="en-GB"/>
              </w:rPr>
              <w:t>Respiratory Department, Dubbo Base Hospital, Dubbo, Australia</w:t>
            </w:r>
          </w:p>
          <w:p w14:paraId="435E8A8C" w14:textId="1D1E6BB7" w:rsidR="001564A4" w:rsidRDefault="001564A4" w:rsidP="08E37917">
            <w:pPr>
              <w:spacing w:before="120" w:after="120"/>
              <w:rPr>
                <w:rFonts w:ascii="Arial" w:hAnsi="Arial" w:cs="Arial"/>
                <w:i/>
                <w:iCs/>
                <w:sz w:val="22"/>
                <w:szCs w:val="22"/>
                <w:lang w:val="en-US" w:eastAsia="en-GB"/>
              </w:rPr>
            </w:pPr>
            <w:r w:rsidRPr="08E37917">
              <w:rPr>
                <w:rFonts w:ascii="Arial" w:hAnsi="Arial" w:cs="Arial"/>
                <w:i/>
                <w:iCs/>
                <w:sz w:val="22"/>
                <w:szCs w:val="22"/>
                <w:vertAlign w:val="superscript"/>
                <w:lang w:val="en-US" w:eastAsia="en-GB"/>
              </w:rPr>
              <w:t>2</w:t>
            </w:r>
            <w:r w:rsidR="004412E1" w:rsidRPr="08E37917">
              <w:rPr>
                <w:rFonts w:ascii="Arial" w:hAnsi="Arial" w:cs="Arial"/>
                <w:i/>
                <w:iCs/>
                <w:sz w:val="22"/>
                <w:szCs w:val="22"/>
                <w:lang w:val="en-US" w:eastAsia="en-GB"/>
              </w:rPr>
              <w:t>Sydney Medical School, The University of Sydney, Australia</w:t>
            </w:r>
            <w:r w:rsidRPr="08E37917">
              <w:rPr>
                <w:rFonts w:ascii="Arial" w:hAnsi="Arial" w:cs="Arial"/>
                <w:i/>
                <w:iCs/>
                <w:sz w:val="22"/>
                <w:szCs w:val="22"/>
                <w:lang w:val="en-US" w:eastAsia="en-GB"/>
              </w:rPr>
              <w:t xml:space="preserve"> </w:t>
            </w:r>
          </w:p>
          <w:p w14:paraId="65978E60" w14:textId="7B9414C9" w:rsidR="7E2C66BC" w:rsidRDefault="7E2C66BC" w:rsidP="08E37917">
            <w:pPr>
              <w:spacing w:before="120" w:after="120"/>
              <w:rPr>
                <w:rFonts w:ascii="Arial" w:hAnsi="Arial" w:cs="Arial"/>
                <w:i/>
                <w:iCs/>
                <w:sz w:val="22"/>
                <w:szCs w:val="22"/>
                <w:lang w:val="en-US" w:eastAsia="en-GB"/>
              </w:rPr>
            </w:pPr>
            <w:r w:rsidRPr="08E37917">
              <w:rPr>
                <w:rFonts w:ascii="Arial" w:hAnsi="Arial" w:cs="Arial"/>
                <w:i/>
                <w:iCs/>
                <w:sz w:val="22"/>
                <w:szCs w:val="22"/>
                <w:vertAlign w:val="superscript"/>
                <w:lang w:val="en-US" w:eastAsia="en-GB"/>
              </w:rPr>
              <w:t>3</w:t>
            </w:r>
            <w:r w:rsidRPr="08E37917">
              <w:rPr>
                <w:rFonts w:ascii="Arial" w:hAnsi="Arial" w:cs="Arial"/>
                <w:i/>
                <w:iCs/>
                <w:sz w:val="22"/>
                <w:szCs w:val="22"/>
                <w:lang w:val="en-US" w:eastAsia="en-GB"/>
              </w:rPr>
              <w:t>School of Rural Health, The University of Sydney, Australia</w:t>
            </w:r>
          </w:p>
          <w:p w14:paraId="45ED36BF" w14:textId="2AAE0805" w:rsidR="001564A4" w:rsidRPr="0050053A" w:rsidRDefault="001564A4" w:rsidP="4898375A">
            <w:pPr>
              <w:spacing w:before="120" w:after="120"/>
              <w:rPr>
                <w:rFonts w:ascii="Arial" w:hAnsi="Arial" w:cs="Arial"/>
                <w:i/>
                <w:iCs/>
                <w:sz w:val="22"/>
                <w:szCs w:val="22"/>
                <w:lang w:val="en-US" w:eastAsia="en-GB"/>
              </w:rPr>
            </w:pPr>
          </w:p>
        </w:tc>
      </w:tr>
      <w:tr w:rsidR="001564A4" w:rsidRPr="0050053A" w14:paraId="6DAF615A" w14:textId="77777777" w:rsidTr="00DB049D">
        <w:trPr>
          <w:trHeight w:hRule="exact" w:val="10578"/>
          <w:jc w:val="center"/>
        </w:trPr>
        <w:tc>
          <w:tcPr>
            <w:tcW w:w="9206" w:type="dxa"/>
            <w:shd w:val="clear" w:color="auto" w:fill="auto"/>
          </w:tcPr>
          <w:p w14:paraId="739E7937" w14:textId="2BF3DFA3" w:rsidR="001564A4" w:rsidRPr="0050053A" w:rsidRDefault="001564A4" w:rsidP="000A28E2">
            <w:pPr>
              <w:pStyle w:val="Pa12"/>
              <w:rPr>
                <w:rStyle w:val="A4"/>
              </w:rPr>
            </w:pPr>
            <w:r>
              <w:rPr>
                <w:rStyle w:val="A4"/>
                <w:b/>
                <w:bCs/>
              </w:rPr>
              <w:t>Introduction/</w:t>
            </w:r>
            <w:r w:rsidRPr="0050053A">
              <w:rPr>
                <w:rStyle w:val="A4"/>
                <w:b/>
                <w:bCs/>
              </w:rPr>
              <w:t xml:space="preserve">Aim: </w:t>
            </w:r>
          </w:p>
          <w:p w14:paraId="45D73F6A" w14:textId="35971E69" w:rsidR="00705DA4" w:rsidRPr="00705DA4" w:rsidRDefault="004412E1" w:rsidP="00705DA4">
            <w:pPr>
              <w:pStyle w:val="Pa12"/>
              <w:rPr>
                <w:sz w:val="22"/>
                <w:szCs w:val="22"/>
              </w:rPr>
            </w:pPr>
            <w:r w:rsidRPr="08E37917">
              <w:rPr>
                <w:sz w:val="22"/>
                <w:szCs w:val="22"/>
              </w:rPr>
              <w:t xml:space="preserve">Intrapleural fibrinolytic therapy (IPFT) with alteplase and </w:t>
            </w:r>
            <w:proofErr w:type="spellStart"/>
            <w:r w:rsidRPr="08E37917">
              <w:rPr>
                <w:sz w:val="22"/>
                <w:szCs w:val="22"/>
              </w:rPr>
              <w:t>dornase</w:t>
            </w:r>
            <w:proofErr w:type="spellEnd"/>
            <w:r w:rsidRPr="08E37917">
              <w:rPr>
                <w:sz w:val="22"/>
                <w:szCs w:val="22"/>
              </w:rPr>
              <w:t xml:space="preserve"> for pleural infections has been shown to improve pleural fluid drainage, </w:t>
            </w:r>
            <w:r w:rsidR="00705DA4" w:rsidRPr="08E37917">
              <w:rPr>
                <w:sz w:val="22"/>
                <w:szCs w:val="22"/>
              </w:rPr>
              <w:t>reduce the need for surgical intervention and shorten the duration of hospital stay.</w:t>
            </w:r>
            <w:r w:rsidR="2B159A3E" w:rsidRPr="08E37917">
              <w:rPr>
                <w:sz w:val="22"/>
                <w:szCs w:val="22"/>
                <w:vertAlign w:val="superscript"/>
              </w:rPr>
              <w:t>[1]</w:t>
            </w:r>
            <w:r w:rsidR="00705DA4" w:rsidRPr="08E37917">
              <w:rPr>
                <w:sz w:val="22"/>
                <w:szCs w:val="22"/>
              </w:rPr>
              <w:t xml:space="preserve"> Dubbo Base Hospital (DBH) is a regional referral hospital servicing Western NSW. Given the lack of cardiothoracic surgery services in DBH, all complex pleural infections are treated initially with IPFT. We aimed to assess the efficacy and safety of IPFT performed in our centre.</w:t>
            </w:r>
          </w:p>
          <w:p w14:paraId="3D770CF7" w14:textId="77777777" w:rsidR="001564A4" w:rsidRPr="0050053A" w:rsidRDefault="001564A4" w:rsidP="000A28E2">
            <w:pPr>
              <w:pStyle w:val="Pa12"/>
              <w:rPr>
                <w:rStyle w:val="A4"/>
                <w:bCs/>
              </w:rPr>
            </w:pPr>
          </w:p>
          <w:p w14:paraId="1B39336E" w14:textId="77777777" w:rsidR="001564A4" w:rsidRPr="0050053A" w:rsidRDefault="001564A4" w:rsidP="000A28E2">
            <w:pPr>
              <w:pStyle w:val="Pa12"/>
              <w:rPr>
                <w:rStyle w:val="A4"/>
                <w:b/>
                <w:bCs/>
              </w:rPr>
            </w:pPr>
            <w:r w:rsidRPr="0050053A">
              <w:rPr>
                <w:rStyle w:val="A4"/>
                <w:b/>
                <w:bCs/>
              </w:rPr>
              <w:t>Method</w:t>
            </w:r>
            <w:r>
              <w:rPr>
                <w:rStyle w:val="A4"/>
                <w:b/>
                <w:bCs/>
              </w:rPr>
              <w:t>s</w:t>
            </w:r>
            <w:r w:rsidRPr="0050053A">
              <w:rPr>
                <w:rStyle w:val="A4"/>
                <w:b/>
                <w:bCs/>
              </w:rPr>
              <w:t xml:space="preserve">: </w:t>
            </w:r>
          </w:p>
          <w:p w14:paraId="70A39F78" w14:textId="6E82C14C" w:rsidR="001564A4" w:rsidRPr="0050053A" w:rsidRDefault="00705DA4" w:rsidP="000A28E2">
            <w:pPr>
              <w:pStyle w:val="Pa12"/>
              <w:rPr>
                <w:sz w:val="22"/>
                <w:szCs w:val="22"/>
              </w:rPr>
            </w:pPr>
            <w:r w:rsidRPr="12006ADE">
              <w:rPr>
                <w:sz w:val="22"/>
                <w:szCs w:val="22"/>
              </w:rPr>
              <w:t>A retrospective analysis was performed on</w:t>
            </w:r>
            <w:r w:rsidR="57FB4FCD" w:rsidRPr="12006ADE">
              <w:rPr>
                <w:sz w:val="22"/>
                <w:szCs w:val="22"/>
              </w:rPr>
              <w:t xml:space="preserve"> all</w:t>
            </w:r>
            <w:r w:rsidRPr="12006ADE">
              <w:rPr>
                <w:sz w:val="22"/>
                <w:szCs w:val="22"/>
              </w:rPr>
              <w:t xml:space="preserve"> patients who received IPFT between </w:t>
            </w:r>
            <w:r w:rsidR="10070241" w:rsidRPr="12006ADE">
              <w:rPr>
                <w:sz w:val="22"/>
                <w:szCs w:val="22"/>
              </w:rPr>
              <w:t>June 2020</w:t>
            </w:r>
            <w:r w:rsidR="03C22583" w:rsidRPr="12006ADE">
              <w:rPr>
                <w:sz w:val="22"/>
                <w:szCs w:val="22"/>
              </w:rPr>
              <w:t xml:space="preserve"> and June 2023</w:t>
            </w:r>
            <w:r w:rsidR="4EABE772" w:rsidRPr="12006ADE">
              <w:rPr>
                <w:sz w:val="22"/>
                <w:szCs w:val="22"/>
              </w:rPr>
              <w:t>.</w:t>
            </w:r>
            <w:r w:rsidRPr="12006ADE">
              <w:rPr>
                <w:sz w:val="22"/>
                <w:szCs w:val="22"/>
              </w:rPr>
              <w:t xml:space="preserve"> Outcomes analysed included reduction in pleural opacity on chest radiograph, need for cardiothoracic referral, duration of hospital stay, mortality and adverse effects.</w:t>
            </w:r>
          </w:p>
          <w:p w14:paraId="5029BAE6" w14:textId="77777777" w:rsidR="001564A4" w:rsidRPr="0050053A" w:rsidRDefault="001564A4" w:rsidP="000A28E2">
            <w:pPr>
              <w:pStyle w:val="Pa12"/>
              <w:rPr>
                <w:rStyle w:val="A4"/>
                <w:bCs/>
              </w:rPr>
            </w:pPr>
          </w:p>
          <w:p w14:paraId="6BF3F094" w14:textId="77777777" w:rsidR="001564A4" w:rsidRPr="0050053A" w:rsidRDefault="001564A4" w:rsidP="000A28E2">
            <w:pPr>
              <w:pStyle w:val="Pa12"/>
              <w:rPr>
                <w:rStyle w:val="A4"/>
                <w:b/>
                <w:bCs/>
              </w:rPr>
            </w:pPr>
            <w:r w:rsidRPr="0050053A">
              <w:rPr>
                <w:rStyle w:val="A4"/>
                <w:b/>
                <w:bCs/>
              </w:rPr>
              <w:t xml:space="preserve">Results: </w:t>
            </w:r>
          </w:p>
          <w:p w14:paraId="7D31138C" w14:textId="20291E9B" w:rsidR="678BDB06" w:rsidRDefault="678BDB06" w:rsidP="4898375A">
            <w:pPr>
              <w:pStyle w:val="Pa12"/>
              <w:rPr>
                <w:rStyle w:val="A4"/>
                <w:color w:val="auto"/>
              </w:rPr>
            </w:pPr>
            <w:r w:rsidRPr="08E37917">
              <w:rPr>
                <w:rStyle w:val="A4"/>
                <w:color w:val="auto"/>
              </w:rPr>
              <w:t xml:space="preserve">There were 25 patients who received IPFT for pleural infections. </w:t>
            </w:r>
            <w:r w:rsidR="0D9ECAEC" w:rsidRPr="08E37917">
              <w:rPr>
                <w:rStyle w:val="A4"/>
                <w:color w:val="auto"/>
              </w:rPr>
              <w:t>The</w:t>
            </w:r>
            <w:r w:rsidR="427BF5F5" w:rsidRPr="08E37917">
              <w:rPr>
                <w:rStyle w:val="A4"/>
                <w:color w:val="auto"/>
              </w:rPr>
              <w:t xml:space="preserve"> me</w:t>
            </w:r>
            <w:r w:rsidR="64E01F61" w:rsidRPr="08E37917">
              <w:rPr>
                <w:rStyle w:val="A4"/>
                <w:color w:val="auto"/>
              </w:rPr>
              <w:t xml:space="preserve">an </w:t>
            </w:r>
            <w:r w:rsidR="427BF5F5" w:rsidRPr="08E37917">
              <w:rPr>
                <w:rStyle w:val="A4"/>
                <w:color w:val="auto"/>
              </w:rPr>
              <w:t>reduction in pleural opacity on chest radiograph was 2</w:t>
            </w:r>
            <w:r w:rsidR="53865A21" w:rsidRPr="08E37917">
              <w:rPr>
                <w:rStyle w:val="A4"/>
                <w:color w:val="auto"/>
              </w:rPr>
              <w:t>5</w:t>
            </w:r>
            <w:r w:rsidR="427BF5F5" w:rsidRPr="08E37917">
              <w:rPr>
                <w:rStyle w:val="A4"/>
                <w:color w:val="auto"/>
              </w:rPr>
              <w:t>.</w:t>
            </w:r>
            <w:r w:rsidR="4D1FC3BD" w:rsidRPr="08E37917">
              <w:rPr>
                <w:rStyle w:val="A4"/>
                <w:color w:val="auto"/>
              </w:rPr>
              <w:t>8</w:t>
            </w:r>
            <w:r w:rsidR="41F1746D" w:rsidRPr="08E37917">
              <w:rPr>
                <w:rStyle w:val="A4"/>
                <w:color w:val="auto"/>
              </w:rPr>
              <w:t>±1</w:t>
            </w:r>
            <w:r w:rsidR="62855299" w:rsidRPr="08E37917">
              <w:rPr>
                <w:rStyle w:val="A4"/>
                <w:color w:val="auto"/>
              </w:rPr>
              <w:t>9</w:t>
            </w:r>
            <w:r w:rsidR="41F1746D" w:rsidRPr="08E37917">
              <w:rPr>
                <w:rStyle w:val="A4"/>
                <w:color w:val="auto"/>
              </w:rPr>
              <w:t>.</w:t>
            </w:r>
            <w:r w:rsidR="2F4399AB" w:rsidRPr="08E37917">
              <w:rPr>
                <w:rStyle w:val="A4"/>
                <w:color w:val="auto"/>
              </w:rPr>
              <w:t>3</w:t>
            </w:r>
            <w:r w:rsidR="41F1746D" w:rsidRPr="08E37917">
              <w:rPr>
                <w:rStyle w:val="A4"/>
                <w:color w:val="auto"/>
              </w:rPr>
              <w:t>%</w:t>
            </w:r>
            <w:r w:rsidR="0096599F" w:rsidRPr="08E37917">
              <w:rPr>
                <w:rStyle w:val="A4"/>
                <w:color w:val="auto"/>
              </w:rPr>
              <w:t xml:space="preserve"> </w:t>
            </w:r>
            <w:r w:rsidR="6BDBB06C" w:rsidRPr="08E37917">
              <w:rPr>
                <w:rStyle w:val="A4"/>
                <w:color w:val="auto"/>
              </w:rPr>
              <w:t xml:space="preserve">of the hemithorax </w:t>
            </w:r>
            <w:r w:rsidR="0096599F" w:rsidRPr="08E37917">
              <w:rPr>
                <w:rStyle w:val="A4"/>
                <w:color w:val="auto"/>
              </w:rPr>
              <w:t>(SD)</w:t>
            </w:r>
            <w:r w:rsidR="48580AD1" w:rsidRPr="08E37917">
              <w:rPr>
                <w:rStyle w:val="A4"/>
                <w:color w:val="auto"/>
              </w:rPr>
              <w:t>.</w:t>
            </w:r>
            <w:r w:rsidR="0D9ECAEC" w:rsidRPr="08E37917">
              <w:rPr>
                <w:rStyle w:val="A4"/>
                <w:color w:val="auto"/>
              </w:rPr>
              <w:t xml:space="preserve"> 2 </w:t>
            </w:r>
            <w:r w:rsidR="6E957058" w:rsidRPr="08E37917">
              <w:rPr>
                <w:rStyle w:val="A4"/>
                <w:color w:val="auto"/>
              </w:rPr>
              <w:t xml:space="preserve">patients </w:t>
            </w:r>
            <w:r w:rsidR="4A0A7C44" w:rsidRPr="08E37917">
              <w:rPr>
                <w:rStyle w:val="A4"/>
                <w:color w:val="auto"/>
              </w:rPr>
              <w:t xml:space="preserve">(8%) required </w:t>
            </w:r>
            <w:r w:rsidR="6A3B07E7" w:rsidRPr="08E37917">
              <w:rPr>
                <w:rStyle w:val="A4"/>
                <w:color w:val="auto"/>
              </w:rPr>
              <w:t>transfer to a cardiothoracic service</w:t>
            </w:r>
            <w:r w:rsidR="59ABA266" w:rsidRPr="08E37917">
              <w:rPr>
                <w:rStyle w:val="A4"/>
                <w:color w:val="auto"/>
              </w:rPr>
              <w:t xml:space="preserve"> for further management. </w:t>
            </w:r>
            <w:r w:rsidR="16DBE066" w:rsidRPr="08E37917">
              <w:rPr>
                <w:rStyle w:val="A4"/>
                <w:color w:val="auto"/>
              </w:rPr>
              <w:t>1</w:t>
            </w:r>
            <w:r w:rsidR="312027B5" w:rsidRPr="08E37917">
              <w:rPr>
                <w:rStyle w:val="A4"/>
                <w:color w:val="auto"/>
              </w:rPr>
              <w:t xml:space="preserve"> of these 2</w:t>
            </w:r>
            <w:r w:rsidR="16DBE066" w:rsidRPr="08E37917">
              <w:rPr>
                <w:rStyle w:val="A4"/>
                <w:color w:val="auto"/>
              </w:rPr>
              <w:t xml:space="preserve"> patient</w:t>
            </w:r>
            <w:r w:rsidR="0BF18C0A" w:rsidRPr="08E37917">
              <w:rPr>
                <w:rStyle w:val="A4"/>
                <w:color w:val="auto"/>
              </w:rPr>
              <w:t>s</w:t>
            </w:r>
            <w:r w:rsidR="16DBE066" w:rsidRPr="08E37917">
              <w:rPr>
                <w:rStyle w:val="A4"/>
                <w:color w:val="auto"/>
              </w:rPr>
              <w:t xml:space="preserve"> (4%) had significant pleural bleeding requiring vasopressors, </w:t>
            </w:r>
            <w:r w:rsidR="7EC43D29" w:rsidRPr="08E37917">
              <w:rPr>
                <w:rStyle w:val="A4"/>
                <w:color w:val="auto"/>
              </w:rPr>
              <w:t>early cessation of IPFT</w:t>
            </w:r>
            <w:r w:rsidR="16DBE066" w:rsidRPr="08E37917">
              <w:rPr>
                <w:rStyle w:val="A4"/>
                <w:color w:val="auto"/>
              </w:rPr>
              <w:t xml:space="preserve"> and transfer.</w:t>
            </w:r>
            <w:r w:rsidR="408A984E" w:rsidRPr="08E37917">
              <w:rPr>
                <w:rStyle w:val="A4"/>
                <w:color w:val="auto"/>
              </w:rPr>
              <w:t xml:space="preserve"> Chest pain was a common side effect of IPFT (11/25, 44%).</w:t>
            </w:r>
            <w:r w:rsidR="5406E8F5" w:rsidRPr="08E37917">
              <w:rPr>
                <w:rStyle w:val="A4"/>
                <w:color w:val="auto"/>
              </w:rPr>
              <w:t xml:space="preserve"> </w:t>
            </w:r>
            <w:r w:rsidR="59ABA266" w:rsidRPr="08E37917">
              <w:rPr>
                <w:rStyle w:val="A4"/>
                <w:color w:val="auto"/>
              </w:rPr>
              <w:t xml:space="preserve">1 </w:t>
            </w:r>
            <w:r w:rsidR="2866199C" w:rsidRPr="08E37917">
              <w:rPr>
                <w:rStyle w:val="A4"/>
                <w:color w:val="auto"/>
              </w:rPr>
              <w:t xml:space="preserve">patient (4%) died from recurrence of pleural infection </w:t>
            </w:r>
            <w:r w:rsidR="6CED630F" w:rsidRPr="08E37917">
              <w:rPr>
                <w:rStyle w:val="A4"/>
                <w:color w:val="auto"/>
              </w:rPr>
              <w:t xml:space="preserve">contributing to </w:t>
            </w:r>
            <w:r w:rsidR="2866199C" w:rsidRPr="08E37917">
              <w:rPr>
                <w:rStyle w:val="A4"/>
                <w:color w:val="auto"/>
              </w:rPr>
              <w:t>respiratory failure.</w:t>
            </w:r>
            <w:r w:rsidR="38FE14FF" w:rsidRPr="08E37917">
              <w:rPr>
                <w:rStyle w:val="A4"/>
                <w:color w:val="auto"/>
              </w:rPr>
              <w:t xml:space="preserve"> </w:t>
            </w:r>
            <w:r w:rsidR="01D627F3" w:rsidRPr="08E37917">
              <w:rPr>
                <w:rStyle w:val="A4"/>
                <w:color w:val="auto"/>
              </w:rPr>
              <w:t xml:space="preserve">24 </w:t>
            </w:r>
            <w:r w:rsidR="5589D71C" w:rsidRPr="08E37917">
              <w:rPr>
                <w:rStyle w:val="A4"/>
                <w:color w:val="auto"/>
              </w:rPr>
              <w:t>patients</w:t>
            </w:r>
            <w:r w:rsidR="01D627F3" w:rsidRPr="08E37917">
              <w:rPr>
                <w:rStyle w:val="A4"/>
                <w:color w:val="auto"/>
              </w:rPr>
              <w:t xml:space="preserve"> (96%) had complete r</w:t>
            </w:r>
            <w:r w:rsidR="0D1DEEB3" w:rsidRPr="08E37917">
              <w:rPr>
                <w:rStyle w:val="A4"/>
                <w:color w:val="auto"/>
              </w:rPr>
              <w:t>adiographic resolution of their pleural infection</w:t>
            </w:r>
            <w:r w:rsidR="281DDFD0" w:rsidRPr="08E37917">
              <w:rPr>
                <w:rStyle w:val="A4"/>
                <w:color w:val="auto"/>
              </w:rPr>
              <w:t>,</w:t>
            </w:r>
            <w:r w:rsidR="0D1DEEB3" w:rsidRPr="08E37917">
              <w:rPr>
                <w:rStyle w:val="A4"/>
                <w:color w:val="auto"/>
              </w:rPr>
              <w:t xml:space="preserve"> with 1 patient lost to follow up. </w:t>
            </w:r>
            <w:r w:rsidR="6634F791" w:rsidRPr="08E37917">
              <w:rPr>
                <w:rStyle w:val="A4"/>
                <w:color w:val="auto"/>
              </w:rPr>
              <w:t xml:space="preserve"> </w:t>
            </w:r>
            <w:r w:rsidR="36A4F831" w:rsidRPr="08E37917">
              <w:rPr>
                <w:rStyle w:val="A4"/>
                <w:color w:val="auto"/>
              </w:rPr>
              <w:t>Median l</w:t>
            </w:r>
            <w:r w:rsidR="0FA33D97" w:rsidRPr="08E37917">
              <w:rPr>
                <w:rStyle w:val="A4"/>
                <w:color w:val="auto"/>
              </w:rPr>
              <w:t xml:space="preserve">ength of stay following IPFT was </w:t>
            </w:r>
            <w:r w:rsidR="74040529" w:rsidRPr="08E37917">
              <w:rPr>
                <w:rStyle w:val="A4"/>
                <w:color w:val="auto"/>
              </w:rPr>
              <w:t xml:space="preserve">6 days (range </w:t>
            </w:r>
            <w:r w:rsidR="56DE19B6" w:rsidRPr="08E37917">
              <w:rPr>
                <w:rStyle w:val="A4"/>
                <w:color w:val="auto"/>
              </w:rPr>
              <w:t>3</w:t>
            </w:r>
            <w:r w:rsidR="35CB5354" w:rsidRPr="08E37917">
              <w:rPr>
                <w:rStyle w:val="A4"/>
                <w:color w:val="auto"/>
              </w:rPr>
              <w:t>-</w:t>
            </w:r>
            <w:r w:rsidR="56DE19B6" w:rsidRPr="08E37917">
              <w:rPr>
                <w:rStyle w:val="A4"/>
                <w:color w:val="auto"/>
              </w:rPr>
              <w:t>34</w:t>
            </w:r>
            <w:r w:rsidR="55BEF400" w:rsidRPr="08E37917">
              <w:rPr>
                <w:rStyle w:val="A4"/>
                <w:color w:val="auto"/>
              </w:rPr>
              <w:t xml:space="preserve"> days</w:t>
            </w:r>
            <w:r w:rsidR="56DE19B6" w:rsidRPr="08E37917">
              <w:rPr>
                <w:rStyle w:val="A4"/>
                <w:color w:val="auto"/>
              </w:rPr>
              <w:t>)</w:t>
            </w:r>
            <w:r w:rsidR="0FA33D97" w:rsidRPr="08E37917">
              <w:rPr>
                <w:rStyle w:val="A4"/>
                <w:color w:val="auto"/>
              </w:rPr>
              <w:t xml:space="preserve">. </w:t>
            </w:r>
            <w:r w:rsidR="0D1DEEB3" w:rsidRPr="08E37917">
              <w:rPr>
                <w:rStyle w:val="A4"/>
                <w:color w:val="auto"/>
              </w:rPr>
              <w:t xml:space="preserve">None of the patients required repeat </w:t>
            </w:r>
            <w:r w:rsidR="72D6F7AF" w:rsidRPr="08E37917">
              <w:rPr>
                <w:rStyle w:val="A4"/>
                <w:color w:val="auto"/>
              </w:rPr>
              <w:t>pleural procedures after discharge from hospital.</w:t>
            </w:r>
          </w:p>
          <w:p w14:paraId="5C73FB45" w14:textId="77777777" w:rsidR="00E675D9" w:rsidRDefault="00E675D9" w:rsidP="000A28E2">
            <w:pPr>
              <w:pStyle w:val="Pa12"/>
              <w:rPr>
                <w:rStyle w:val="A4"/>
                <w:b/>
                <w:bCs/>
              </w:rPr>
            </w:pPr>
          </w:p>
          <w:p w14:paraId="7837B0AE" w14:textId="77416B53" w:rsidR="00E675D9" w:rsidRDefault="00E675D9" w:rsidP="000A28E2">
            <w:pPr>
              <w:pStyle w:val="Pa12"/>
              <w:rPr>
                <w:rStyle w:val="A4"/>
                <w:b/>
                <w:bCs/>
              </w:rPr>
            </w:pPr>
          </w:p>
          <w:p w14:paraId="652F7BE1" w14:textId="77777777" w:rsidR="001564A4" w:rsidRPr="0050053A" w:rsidRDefault="001564A4" w:rsidP="000A28E2">
            <w:pPr>
              <w:pStyle w:val="Pa12"/>
              <w:rPr>
                <w:rStyle w:val="A4"/>
                <w:b/>
                <w:bCs/>
              </w:rPr>
            </w:pPr>
            <w:r w:rsidRPr="0050053A">
              <w:rPr>
                <w:rStyle w:val="A4"/>
                <w:b/>
                <w:bCs/>
              </w:rPr>
              <w:t xml:space="preserve">Conclusion: </w:t>
            </w:r>
          </w:p>
          <w:p w14:paraId="64AFB0A2" w14:textId="70708EB3" w:rsidR="00705DA4" w:rsidRDefault="00705DA4" w:rsidP="000A28E2">
            <w:pPr>
              <w:pStyle w:val="Pa12"/>
              <w:rPr>
                <w:sz w:val="22"/>
                <w:szCs w:val="22"/>
              </w:rPr>
            </w:pPr>
            <w:r w:rsidRPr="08E37917">
              <w:rPr>
                <w:sz w:val="22"/>
                <w:szCs w:val="22"/>
              </w:rPr>
              <w:t xml:space="preserve">IPFT is an effective therapy for </w:t>
            </w:r>
            <w:r w:rsidR="00E675D9" w:rsidRPr="08E37917">
              <w:rPr>
                <w:sz w:val="22"/>
                <w:szCs w:val="22"/>
              </w:rPr>
              <w:t>the treatment of complicated pleural infections. Our outcomes are largely in keeping with published literature.</w:t>
            </w:r>
          </w:p>
          <w:p w14:paraId="581447DB" w14:textId="77777777" w:rsidR="00705DA4" w:rsidRPr="00705DA4" w:rsidRDefault="00705DA4" w:rsidP="00705DA4">
            <w:pPr>
              <w:pStyle w:val="Default"/>
            </w:pPr>
          </w:p>
          <w:p w14:paraId="3E8B4283" w14:textId="77777777" w:rsidR="001564A4" w:rsidRPr="0050053A" w:rsidRDefault="001564A4" w:rsidP="000A28E2">
            <w:pPr>
              <w:pStyle w:val="Pa12"/>
              <w:rPr>
                <w:rStyle w:val="A4"/>
                <w:b/>
                <w:bCs/>
              </w:rPr>
            </w:pPr>
            <w:r w:rsidRPr="0050053A">
              <w:rPr>
                <w:rStyle w:val="A4"/>
                <w:b/>
                <w:bCs/>
              </w:rPr>
              <w:t xml:space="preserve">Grant Support: </w:t>
            </w:r>
          </w:p>
          <w:p w14:paraId="4DCDB9FF" w14:textId="5276EEA3" w:rsidR="001564A4" w:rsidRPr="0050053A" w:rsidRDefault="00705DA4" w:rsidP="08E37917">
            <w:pPr>
              <w:pStyle w:val="Pa12"/>
              <w:rPr>
                <w:sz w:val="22"/>
                <w:szCs w:val="22"/>
              </w:rPr>
            </w:pPr>
            <w:r w:rsidRPr="08E37917">
              <w:rPr>
                <w:sz w:val="22"/>
                <w:szCs w:val="22"/>
              </w:rPr>
              <w:t>Nil</w:t>
            </w:r>
            <w:r w:rsidR="001564A4">
              <w:br/>
            </w:r>
          </w:p>
          <w:p w14:paraId="65FB2F9E" w14:textId="529DF8AC" w:rsidR="001564A4" w:rsidRPr="0050053A" w:rsidRDefault="1D22FECB" w:rsidP="08E37917">
            <w:pPr>
              <w:pStyle w:val="Pa12"/>
              <w:rPr>
                <w:rStyle w:val="A4"/>
                <w:b/>
                <w:bCs/>
                <w:color w:val="auto"/>
              </w:rPr>
            </w:pPr>
            <w:r w:rsidRPr="08E37917">
              <w:rPr>
                <w:rStyle w:val="A4"/>
                <w:b/>
                <w:bCs/>
                <w:color w:val="auto"/>
              </w:rPr>
              <w:t>References:</w:t>
            </w:r>
          </w:p>
          <w:p w14:paraId="5F58D34F" w14:textId="5D730BC9" w:rsidR="001564A4" w:rsidRPr="0050053A" w:rsidRDefault="4EE1AEE4" w:rsidP="08E37917">
            <w:pPr>
              <w:pStyle w:val="Pa12"/>
              <w:numPr>
                <w:ilvl w:val="0"/>
                <w:numId w:val="1"/>
              </w:numPr>
              <w:rPr>
                <w:rStyle w:val="A4"/>
                <w:color w:val="auto"/>
                <w:lang w:val="en-US"/>
              </w:rPr>
            </w:pPr>
            <w:r w:rsidRPr="08E37917">
              <w:rPr>
                <w:rStyle w:val="A4"/>
                <w:color w:val="auto"/>
              </w:rPr>
              <w:t>Rahman NM, Maskell NA, West A, Teoh R, Arnold A, Mackinlay C, et al. Intrapleural Use of Tissue Plasminogen Activator and DNase in Pleural Infection. New England Journal of Medicine. 2011 Aug 11;365(6):518–26.</w:t>
            </w:r>
            <w:r w:rsidR="001564A4">
              <w:br/>
            </w:r>
          </w:p>
        </w:tc>
      </w:tr>
    </w:tbl>
    <w:p w14:paraId="7C36A9DC" w14:textId="32A70617" w:rsidR="00E0700F" w:rsidRDefault="00E0700F" w:rsidP="001564A4"/>
    <w:sectPr w:rsidR="00E070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6706E2"/>
    <w:multiLevelType w:val="hybridMultilevel"/>
    <w:tmpl w:val="07A82502"/>
    <w:lvl w:ilvl="0" w:tplc="1ACEB492">
      <w:start w:val="1"/>
      <w:numFmt w:val="decimal"/>
      <w:lvlText w:val="%1."/>
      <w:lvlJc w:val="left"/>
      <w:pPr>
        <w:ind w:left="720" w:hanging="360"/>
      </w:pPr>
    </w:lvl>
    <w:lvl w:ilvl="1" w:tplc="EBF49B9A">
      <w:start w:val="1"/>
      <w:numFmt w:val="lowerLetter"/>
      <w:lvlText w:val="%2."/>
      <w:lvlJc w:val="left"/>
      <w:pPr>
        <w:ind w:left="1440" w:hanging="360"/>
      </w:pPr>
    </w:lvl>
    <w:lvl w:ilvl="2" w:tplc="F62E0AC6">
      <w:start w:val="1"/>
      <w:numFmt w:val="lowerRoman"/>
      <w:lvlText w:val="%3."/>
      <w:lvlJc w:val="right"/>
      <w:pPr>
        <w:ind w:left="2160" w:hanging="180"/>
      </w:pPr>
    </w:lvl>
    <w:lvl w:ilvl="3" w:tplc="CFEAC79C">
      <w:start w:val="1"/>
      <w:numFmt w:val="decimal"/>
      <w:lvlText w:val="%4."/>
      <w:lvlJc w:val="left"/>
      <w:pPr>
        <w:ind w:left="2880" w:hanging="360"/>
      </w:pPr>
    </w:lvl>
    <w:lvl w:ilvl="4" w:tplc="43BAC5B8">
      <w:start w:val="1"/>
      <w:numFmt w:val="lowerLetter"/>
      <w:lvlText w:val="%5."/>
      <w:lvlJc w:val="left"/>
      <w:pPr>
        <w:ind w:left="3600" w:hanging="360"/>
      </w:pPr>
    </w:lvl>
    <w:lvl w:ilvl="5" w:tplc="99A6DE0C">
      <w:start w:val="1"/>
      <w:numFmt w:val="lowerRoman"/>
      <w:lvlText w:val="%6."/>
      <w:lvlJc w:val="right"/>
      <w:pPr>
        <w:ind w:left="4320" w:hanging="180"/>
      </w:pPr>
    </w:lvl>
    <w:lvl w:ilvl="6" w:tplc="051EBFAC">
      <w:start w:val="1"/>
      <w:numFmt w:val="decimal"/>
      <w:lvlText w:val="%7."/>
      <w:lvlJc w:val="left"/>
      <w:pPr>
        <w:ind w:left="5040" w:hanging="360"/>
      </w:pPr>
    </w:lvl>
    <w:lvl w:ilvl="7" w:tplc="C0586A40">
      <w:start w:val="1"/>
      <w:numFmt w:val="lowerLetter"/>
      <w:lvlText w:val="%8."/>
      <w:lvlJc w:val="left"/>
      <w:pPr>
        <w:ind w:left="5760" w:hanging="360"/>
      </w:pPr>
    </w:lvl>
    <w:lvl w:ilvl="8" w:tplc="A31E3FCC">
      <w:start w:val="1"/>
      <w:numFmt w:val="lowerRoman"/>
      <w:lvlText w:val="%9."/>
      <w:lvlJc w:val="right"/>
      <w:pPr>
        <w:ind w:left="6480" w:hanging="180"/>
      </w:pPr>
    </w:lvl>
  </w:abstractNum>
  <w:abstractNum w:abstractNumId="1" w15:restartNumberingAfterBreak="0">
    <w:nsid w:val="5FF1E3CB"/>
    <w:multiLevelType w:val="hybridMultilevel"/>
    <w:tmpl w:val="5C8CE3EE"/>
    <w:lvl w:ilvl="0" w:tplc="D2D263AE">
      <w:start w:val="1"/>
      <w:numFmt w:val="decimal"/>
      <w:lvlText w:val="%1."/>
      <w:lvlJc w:val="left"/>
      <w:pPr>
        <w:ind w:left="720" w:hanging="360"/>
      </w:pPr>
    </w:lvl>
    <w:lvl w:ilvl="1" w:tplc="A3CA14C8">
      <w:start w:val="1"/>
      <w:numFmt w:val="lowerLetter"/>
      <w:lvlText w:val="%2."/>
      <w:lvlJc w:val="left"/>
      <w:pPr>
        <w:ind w:left="1440" w:hanging="360"/>
      </w:pPr>
    </w:lvl>
    <w:lvl w:ilvl="2" w:tplc="B9F6AB46">
      <w:start w:val="1"/>
      <w:numFmt w:val="lowerRoman"/>
      <w:lvlText w:val="%3."/>
      <w:lvlJc w:val="right"/>
      <w:pPr>
        <w:ind w:left="2160" w:hanging="180"/>
      </w:pPr>
    </w:lvl>
    <w:lvl w:ilvl="3" w:tplc="229C228A">
      <w:start w:val="1"/>
      <w:numFmt w:val="decimal"/>
      <w:lvlText w:val="%4."/>
      <w:lvlJc w:val="left"/>
      <w:pPr>
        <w:ind w:left="2880" w:hanging="360"/>
      </w:pPr>
    </w:lvl>
    <w:lvl w:ilvl="4" w:tplc="4AFE73FC">
      <w:start w:val="1"/>
      <w:numFmt w:val="lowerLetter"/>
      <w:lvlText w:val="%5."/>
      <w:lvlJc w:val="left"/>
      <w:pPr>
        <w:ind w:left="3600" w:hanging="360"/>
      </w:pPr>
    </w:lvl>
    <w:lvl w:ilvl="5" w:tplc="1F8457C4">
      <w:start w:val="1"/>
      <w:numFmt w:val="lowerRoman"/>
      <w:lvlText w:val="%6."/>
      <w:lvlJc w:val="right"/>
      <w:pPr>
        <w:ind w:left="4320" w:hanging="180"/>
      </w:pPr>
    </w:lvl>
    <w:lvl w:ilvl="6" w:tplc="7A64E29E">
      <w:start w:val="1"/>
      <w:numFmt w:val="decimal"/>
      <w:lvlText w:val="%7."/>
      <w:lvlJc w:val="left"/>
      <w:pPr>
        <w:ind w:left="5040" w:hanging="360"/>
      </w:pPr>
    </w:lvl>
    <w:lvl w:ilvl="7" w:tplc="5DCE4542">
      <w:start w:val="1"/>
      <w:numFmt w:val="lowerLetter"/>
      <w:lvlText w:val="%8."/>
      <w:lvlJc w:val="left"/>
      <w:pPr>
        <w:ind w:left="5760" w:hanging="360"/>
      </w:pPr>
    </w:lvl>
    <w:lvl w:ilvl="8" w:tplc="7D26C254">
      <w:start w:val="1"/>
      <w:numFmt w:val="lowerRoman"/>
      <w:lvlText w:val="%9."/>
      <w:lvlJc w:val="right"/>
      <w:pPr>
        <w:ind w:left="6480" w:hanging="180"/>
      </w:pPr>
    </w:lvl>
  </w:abstractNum>
  <w:num w:numId="1" w16cid:durableId="1902328142">
    <w:abstractNumId w:val="1"/>
  </w:num>
  <w:num w:numId="2" w16cid:durableId="707683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4A4"/>
    <w:rsid w:val="001564A4"/>
    <w:rsid w:val="004412E1"/>
    <w:rsid w:val="0051574E"/>
    <w:rsid w:val="006CCBB5"/>
    <w:rsid w:val="006D5396"/>
    <w:rsid w:val="00705DA4"/>
    <w:rsid w:val="008803FA"/>
    <w:rsid w:val="009404E1"/>
    <w:rsid w:val="0096599F"/>
    <w:rsid w:val="00B12E32"/>
    <w:rsid w:val="00DB049D"/>
    <w:rsid w:val="00E0700F"/>
    <w:rsid w:val="00E675D9"/>
    <w:rsid w:val="00EE1D87"/>
    <w:rsid w:val="01D627F3"/>
    <w:rsid w:val="025470B8"/>
    <w:rsid w:val="03C22583"/>
    <w:rsid w:val="03DADA9D"/>
    <w:rsid w:val="045431F9"/>
    <w:rsid w:val="0465F76B"/>
    <w:rsid w:val="0481FEEB"/>
    <w:rsid w:val="04B10267"/>
    <w:rsid w:val="06F06ED7"/>
    <w:rsid w:val="07ECA4D8"/>
    <w:rsid w:val="08E37917"/>
    <w:rsid w:val="0986A3D9"/>
    <w:rsid w:val="0BF18C0A"/>
    <w:rsid w:val="0D1DEEB3"/>
    <w:rsid w:val="0D9ECAEC"/>
    <w:rsid w:val="0E09392D"/>
    <w:rsid w:val="0FA33D97"/>
    <w:rsid w:val="0FA5098E"/>
    <w:rsid w:val="10070241"/>
    <w:rsid w:val="104E78BD"/>
    <w:rsid w:val="11170E33"/>
    <w:rsid w:val="11285DA0"/>
    <w:rsid w:val="12006ADE"/>
    <w:rsid w:val="15E1D065"/>
    <w:rsid w:val="166F8781"/>
    <w:rsid w:val="16DBE066"/>
    <w:rsid w:val="17864FB7"/>
    <w:rsid w:val="190F1441"/>
    <w:rsid w:val="192F6E74"/>
    <w:rsid w:val="1BF2F398"/>
    <w:rsid w:val="1CA0C49D"/>
    <w:rsid w:val="1D22FECB"/>
    <w:rsid w:val="204B742A"/>
    <w:rsid w:val="22A57755"/>
    <w:rsid w:val="22E624EE"/>
    <w:rsid w:val="256A898D"/>
    <w:rsid w:val="2699A0C6"/>
    <w:rsid w:val="281DDFD0"/>
    <w:rsid w:val="2866199C"/>
    <w:rsid w:val="2A11EA3C"/>
    <w:rsid w:val="2A813C7C"/>
    <w:rsid w:val="2B159A3E"/>
    <w:rsid w:val="2B23058C"/>
    <w:rsid w:val="2C33B704"/>
    <w:rsid w:val="2F4399AB"/>
    <w:rsid w:val="2FF676AF"/>
    <w:rsid w:val="312027B5"/>
    <w:rsid w:val="328C4E61"/>
    <w:rsid w:val="32D802EB"/>
    <w:rsid w:val="33E6F6E4"/>
    <w:rsid w:val="3453EA9F"/>
    <w:rsid w:val="35CB5354"/>
    <w:rsid w:val="36A4F831"/>
    <w:rsid w:val="3734FF58"/>
    <w:rsid w:val="38FE14FF"/>
    <w:rsid w:val="3AF43185"/>
    <w:rsid w:val="3BDE0F96"/>
    <w:rsid w:val="3EC6A860"/>
    <w:rsid w:val="3F0E7885"/>
    <w:rsid w:val="408A984E"/>
    <w:rsid w:val="41E13C60"/>
    <w:rsid w:val="41F1746D"/>
    <w:rsid w:val="427BF5F5"/>
    <w:rsid w:val="4500E100"/>
    <w:rsid w:val="46F48BEE"/>
    <w:rsid w:val="48580AD1"/>
    <w:rsid w:val="4898375A"/>
    <w:rsid w:val="4A0A7C44"/>
    <w:rsid w:val="4B012620"/>
    <w:rsid w:val="4BEE008E"/>
    <w:rsid w:val="4C7459B5"/>
    <w:rsid w:val="4D1FC3BD"/>
    <w:rsid w:val="4E63E01B"/>
    <w:rsid w:val="4EABE772"/>
    <w:rsid w:val="4EE1AEE4"/>
    <w:rsid w:val="50947DC8"/>
    <w:rsid w:val="51BC0BE4"/>
    <w:rsid w:val="5295ED76"/>
    <w:rsid w:val="536AF402"/>
    <w:rsid w:val="53865A21"/>
    <w:rsid w:val="5406E8F5"/>
    <w:rsid w:val="5484C86F"/>
    <w:rsid w:val="54F3ACA6"/>
    <w:rsid w:val="5589D71C"/>
    <w:rsid w:val="55BEF400"/>
    <w:rsid w:val="5675B03C"/>
    <w:rsid w:val="56DE19B6"/>
    <w:rsid w:val="57537200"/>
    <w:rsid w:val="57FB4FCD"/>
    <w:rsid w:val="58741B2A"/>
    <w:rsid w:val="59413C44"/>
    <w:rsid w:val="59ABA266"/>
    <w:rsid w:val="5A0A5F95"/>
    <w:rsid w:val="5B5B6646"/>
    <w:rsid w:val="5D420057"/>
    <w:rsid w:val="5EDDD0B8"/>
    <w:rsid w:val="61919975"/>
    <w:rsid w:val="62855299"/>
    <w:rsid w:val="63107A33"/>
    <w:rsid w:val="64E01F61"/>
    <w:rsid w:val="6598C6C6"/>
    <w:rsid w:val="6634F791"/>
    <w:rsid w:val="678BDB06"/>
    <w:rsid w:val="6A3B07E7"/>
    <w:rsid w:val="6BDBB06C"/>
    <w:rsid w:val="6BE4C853"/>
    <w:rsid w:val="6CED630F"/>
    <w:rsid w:val="6E957058"/>
    <w:rsid w:val="6F1C6915"/>
    <w:rsid w:val="6FD41B0E"/>
    <w:rsid w:val="724B5AE6"/>
    <w:rsid w:val="72ADDC21"/>
    <w:rsid w:val="72D6F7AF"/>
    <w:rsid w:val="73BDF937"/>
    <w:rsid w:val="74040529"/>
    <w:rsid w:val="755CB129"/>
    <w:rsid w:val="75BD7B62"/>
    <w:rsid w:val="7653F4FD"/>
    <w:rsid w:val="76898526"/>
    <w:rsid w:val="76E0C7BA"/>
    <w:rsid w:val="7DF57CA4"/>
    <w:rsid w:val="7E2C66BC"/>
    <w:rsid w:val="7EC43D29"/>
    <w:rsid w:val="7ED18334"/>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7" ma:contentTypeDescription="Create a new document." ma:contentTypeScope="" ma:versionID="778b9c0417b177e5ab6c535dc7377d88">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be394e28ae68f14f8281989e71287a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C8642D-6373-4036-996F-C4A2EA751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15C7D0F7-9D36-49A6-B504-6A025E2D92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2013</Characters>
  <Application>Microsoft Office Word</Application>
  <DocSecurity>0</DocSecurity>
  <Lines>16</Lines>
  <Paragraphs>4</Paragraphs>
  <ScaleCrop>false</ScaleCrop>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Daryl Chan</cp:lastModifiedBy>
  <cp:revision>7</cp:revision>
  <dcterms:created xsi:type="dcterms:W3CDTF">2023-10-10T04:07:00Z</dcterms:created>
  <dcterms:modified xsi:type="dcterms:W3CDTF">2023-10-17T09:47:00Z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