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19C03" w14:textId="41E901BC" w:rsidR="003E215E" w:rsidRPr="00FA45BF" w:rsidRDefault="003E215E" w:rsidP="003E215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Enabling </w:t>
      </w:r>
      <w:r w:rsidR="009A5ADE">
        <w:rPr>
          <w:b/>
          <w:bCs/>
          <w:sz w:val="28"/>
          <w:szCs w:val="28"/>
        </w:rPr>
        <w:t>a</w:t>
      </w:r>
      <w:r>
        <w:rPr>
          <w:b/>
          <w:bCs/>
          <w:sz w:val="28"/>
          <w:szCs w:val="28"/>
        </w:rPr>
        <w:t>daptation</w:t>
      </w:r>
      <w:r w:rsidR="00841E8B">
        <w:rPr>
          <w:b/>
          <w:bCs/>
          <w:sz w:val="28"/>
          <w:szCs w:val="28"/>
        </w:rPr>
        <w:t>: learning from case studies of best practice</w:t>
      </w:r>
      <w:r>
        <w:rPr>
          <w:b/>
          <w:bCs/>
          <w:sz w:val="28"/>
          <w:szCs w:val="28"/>
        </w:rPr>
        <w:t xml:space="preserve"> across Australia’s adaptation contexts</w:t>
      </w:r>
    </w:p>
    <w:p w14:paraId="13EAF782" w14:textId="5D559E6A" w:rsidR="003E215E" w:rsidRPr="006A7D5B" w:rsidRDefault="003E215E" w:rsidP="003E215E">
      <w:pPr>
        <w:rPr>
          <w:vertAlign w:val="superscript"/>
        </w:rPr>
      </w:pPr>
      <w:r w:rsidRPr="00FA45BF">
        <w:rPr>
          <w:b/>
          <w:bCs/>
          <w:sz w:val="28"/>
          <w:szCs w:val="28"/>
        </w:rPr>
        <w:t>Authors:</w:t>
      </w:r>
      <w:r w:rsidRPr="00FA45BF">
        <w:rPr>
          <w:sz w:val="28"/>
          <w:szCs w:val="28"/>
        </w:rPr>
        <w:t xml:space="preserve"> </w:t>
      </w:r>
      <w:r>
        <w:t>Tia Brullo</w:t>
      </w:r>
      <w:r>
        <w:rPr>
          <w:vertAlign w:val="superscript"/>
        </w:rPr>
        <w:t>1</w:t>
      </w:r>
      <w:r>
        <w:t>, Jon Barnett</w:t>
      </w:r>
      <w:r>
        <w:rPr>
          <w:vertAlign w:val="superscript"/>
        </w:rPr>
        <w:t>1</w:t>
      </w:r>
      <w:r>
        <w:t>, Sarah Boulter</w:t>
      </w:r>
      <w:r>
        <w:rPr>
          <w:vertAlign w:val="superscript"/>
        </w:rPr>
        <w:t>3</w:t>
      </w:r>
      <w:r w:rsidR="005F439F">
        <w:t xml:space="preserve"> and Elissa Waters</w:t>
      </w:r>
      <w:r w:rsidR="005F439F">
        <w:rPr>
          <w:vertAlign w:val="superscript"/>
        </w:rPr>
        <w:t>2</w:t>
      </w:r>
    </w:p>
    <w:p w14:paraId="3825F697" w14:textId="77777777" w:rsidR="003E215E" w:rsidRPr="006A7D5B" w:rsidRDefault="003E215E" w:rsidP="003E215E">
      <w:pPr>
        <w:pStyle w:val="NormalWeb"/>
        <w:numPr>
          <w:ilvl w:val="0"/>
          <w:numId w:val="1"/>
        </w:numPr>
        <w:spacing w:before="0" w:beforeAutospacing="0" w:after="0" w:afterAutospacing="0" w:line="216" w:lineRule="atLeast"/>
        <w:rPr>
          <w:rStyle w:val="apple-converted-space"/>
          <w:rFonts w:ascii="-webkit-standard" w:hAnsi="-webkit-standard"/>
          <w:color w:val="000000"/>
          <w:sz w:val="18"/>
          <w:szCs w:val="18"/>
        </w:rPr>
      </w:pPr>
      <w:r>
        <w:rPr>
          <w:rStyle w:val="s8"/>
          <w:rFonts w:ascii="Calibri" w:eastAsiaTheme="majorEastAsia" w:hAnsi="Calibri" w:cs="Calibri"/>
          <w:color w:val="000000"/>
          <w:sz w:val="18"/>
          <w:szCs w:val="18"/>
        </w:rPr>
        <w:t>Geography Earth and Atmospheric Sciences, University of Melbourne</w:t>
      </w:r>
    </w:p>
    <w:p w14:paraId="58459E67" w14:textId="77777777" w:rsidR="005F439F" w:rsidRPr="006A7D5B" w:rsidRDefault="005F439F" w:rsidP="005F439F">
      <w:pPr>
        <w:pStyle w:val="NormalWeb"/>
        <w:numPr>
          <w:ilvl w:val="0"/>
          <w:numId w:val="1"/>
        </w:numPr>
        <w:spacing w:before="0" w:beforeAutospacing="0" w:after="0" w:afterAutospacing="0" w:line="216" w:lineRule="atLeast"/>
        <w:rPr>
          <w:rFonts w:ascii="-webkit-standard" w:hAnsi="-webkit-standard"/>
          <w:color w:val="000000"/>
          <w:sz w:val="18"/>
          <w:szCs w:val="18"/>
        </w:rPr>
      </w:pPr>
      <w:r w:rsidRPr="006A7D5B">
        <w:rPr>
          <w:rStyle w:val="s8"/>
          <w:rFonts w:ascii="Calibri" w:eastAsiaTheme="majorEastAsia" w:hAnsi="Calibri" w:cs="Calibri"/>
          <w:color w:val="000000"/>
          <w:sz w:val="18"/>
          <w:szCs w:val="18"/>
        </w:rPr>
        <w:t>Geography, Planning and Spatial Sciences, University of Tasmania</w:t>
      </w:r>
    </w:p>
    <w:p w14:paraId="2371D9D2" w14:textId="1939C4F5" w:rsidR="003E215E" w:rsidRPr="006A7D5B" w:rsidRDefault="003E215E" w:rsidP="005F439F">
      <w:pPr>
        <w:pStyle w:val="NormalWeb"/>
        <w:numPr>
          <w:ilvl w:val="0"/>
          <w:numId w:val="1"/>
        </w:numPr>
        <w:spacing w:before="0" w:beforeAutospacing="0" w:after="0" w:afterAutospacing="0" w:line="216" w:lineRule="atLeast"/>
        <w:rPr>
          <w:rStyle w:val="apple-converted-space"/>
          <w:rFonts w:ascii="-webkit-standard" w:hAnsi="-webkit-standard"/>
          <w:color w:val="000000"/>
          <w:sz w:val="18"/>
          <w:szCs w:val="18"/>
        </w:rPr>
      </w:pPr>
      <w:r w:rsidRPr="006A7D5B">
        <w:rPr>
          <w:rStyle w:val="s8"/>
          <w:rFonts w:ascii="Calibri" w:eastAsiaTheme="majorEastAsia" w:hAnsi="Calibri" w:cs="Calibri"/>
          <w:color w:val="000000"/>
          <w:sz w:val="18"/>
          <w:szCs w:val="18"/>
        </w:rPr>
        <w:t>Social Sciences, Monash University</w:t>
      </w:r>
      <w:r w:rsidRPr="006A7D5B">
        <w:rPr>
          <w:rStyle w:val="apple-converted-space"/>
          <w:rFonts w:ascii="Calibri" w:eastAsiaTheme="majorEastAsia" w:hAnsi="Calibri" w:cs="Calibri"/>
          <w:color w:val="000000"/>
          <w:sz w:val="18"/>
          <w:szCs w:val="18"/>
        </w:rPr>
        <w:t> </w:t>
      </w:r>
    </w:p>
    <w:p w14:paraId="3F1824A4" w14:textId="77777777" w:rsidR="00734042" w:rsidRDefault="00734042"/>
    <w:p w14:paraId="65E2F6C6" w14:textId="77777777" w:rsidR="00FB65E3" w:rsidRDefault="00FB65E3"/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FB65E3" w:rsidRPr="0003525D" w14:paraId="6EA4595C" w14:textId="77777777" w:rsidTr="00C8331F">
        <w:tc>
          <w:tcPr>
            <w:tcW w:w="8640" w:type="dxa"/>
            <w:shd w:val="clear" w:color="auto" w:fill="F2F2F2" w:themeFill="background1" w:themeFillShade="F2"/>
          </w:tcPr>
          <w:p w14:paraId="1502FD46" w14:textId="7A67875E" w:rsidR="00D3666B" w:rsidRPr="006A4F25" w:rsidRDefault="006A4F25" w:rsidP="000D0165">
            <w:pPr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  <w:u w:val="single"/>
              </w:rPr>
            </w:pPr>
            <w:r w:rsidRPr="006A4F25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Paper</w:t>
            </w:r>
          </w:p>
          <w:p w14:paraId="09757CE7" w14:textId="77777777" w:rsidR="00FB65E3" w:rsidRPr="00A37DD6" w:rsidRDefault="00FB65E3" w:rsidP="000D016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37DD6">
              <w:rPr>
                <w:rFonts w:ascii="Arial" w:hAnsi="Arial" w:cs="Arial"/>
                <w:b/>
                <w:sz w:val="22"/>
                <w:szCs w:val="22"/>
              </w:rPr>
              <w:t xml:space="preserve">Enabling </w:t>
            </w:r>
            <w:r w:rsidR="002E0DD3" w:rsidRPr="00A37DD6">
              <w:rPr>
                <w:rFonts w:ascii="Arial" w:hAnsi="Arial" w:cs="Arial"/>
                <w:b/>
                <w:sz w:val="22"/>
                <w:szCs w:val="22"/>
              </w:rPr>
              <w:t xml:space="preserve">best practice </w:t>
            </w:r>
            <w:r w:rsidRPr="00A37DD6">
              <w:rPr>
                <w:rFonts w:ascii="Arial" w:hAnsi="Arial" w:cs="Arial"/>
                <w:b/>
                <w:sz w:val="22"/>
                <w:szCs w:val="22"/>
              </w:rPr>
              <w:t xml:space="preserve">adaptation: learning from </w:t>
            </w:r>
            <w:r w:rsidR="002E0DD3" w:rsidRPr="00A37DD6">
              <w:rPr>
                <w:rFonts w:ascii="Arial" w:hAnsi="Arial" w:cs="Arial"/>
                <w:b/>
                <w:sz w:val="22"/>
                <w:szCs w:val="22"/>
              </w:rPr>
              <w:t xml:space="preserve">Australian </w:t>
            </w:r>
            <w:r w:rsidRPr="00A37DD6">
              <w:rPr>
                <w:rFonts w:ascii="Arial" w:hAnsi="Arial" w:cs="Arial"/>
                <w:b/>
                <w:sz w:val="22"/>
                <w:szCs w:val="22"/>
              </w:rPr>
              <w:t xml:space="preserve">case studies </w:t>
            </w:r>
          </w:p>
          <w:p w14:paraId="4CDDA8DF" w14:textId="5C961368" w:rsidR="00A37DD6" w:rsidRPr="000D0165" w:rsidRDefault="00A37DD6" w:rsidP="000D0165">
            <w:pPr>
              <w:rPr>
                <w:bCs/>
                <w:sz w:val="28"/>
                <w:szCs w:val="28"/>
              </w:rPr>
            </w:pPr>
          </w:p>
        </w:tc>
      </w:tr>
      <w:tr w:rsidR="00FB65E3" w:rsidRPr="0003525D" w14:paraId="1E198931" w14:textId="77777777" w:rsidTr="00C8331F">
        <w:trPr>
          <w:trHeight w:val="3124"/>
        </w:trPr>
        <w:tc>
          <w:tcPr>
            <w:tcW w:w="8640" w:type="dxa"/>
          </w:tcPr>
          <w:p w14:paraId="0A26E9DB" w14:textId="77777777" w:rsidR="00FB65E3" w:rsidRDefault="00FB65E3" w:rsidP="00C8331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1E63D98" w14:textId="77777777" w:rsidR="00FB65E3" w:rsidRDefault="00FB65E3" w:rsidP="00C8331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5012F">
              <w:rPr>
                <w:rFonts w:ascii="Arial" w:hAnsi="Arial" w:cs="Arial"/>
                <w:b/>
                <w:sz w:val="22"/>
                <w:szCs w:val="22"/>
              </w:rPr>
              <w:t>Introduction</w:t>
            </w:r>
          </w:p>
          <w:p w14:paraId="082E1F1D" w14:textId="10068C72" w:rsidR="00A5629C" w:rsidRDefault="00943631" w:rsidP="00A5629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Adaptation practitioners are increasingly concerned with u</w:t>
            </w:r>
            <w:r w:rsidR="00636EA8">
              <w:rPr>
                <w:rFonts w:ascii="Arial" w:hAnsi="Arial" w:cs="Arial"/>
                <w:sz w:val="22"/>
                <w:szCs w:val="22"/>
              </w:rPr>
              <w:t>nderstanding how</w:t>
            </w:r>
            <w:r w:rsidR="000E7D42">
              <w:rPr>
                <w:rFonts w:ascii="Arial" w:hAnsi="Arial" w:cs="Arial"/>
                <w:sz w:val="22"/>
                <w:szCs w:val="22"/>
              </w:rPr>
              <w:t xml:space="preserve"> to create or promote opportunities for climate change adaptation</w:t>
            </w:r>
            <w:r w:rsidR="001873B1">
              <w:rPr>
                <w:rFonts w:ascii="Arial" w:hAnsi="Arial" w:cs="Arial"/>
                <w:sz w:val="22"/>
                <w:szCs w:val="22"/>
              </w:rPr>
              <w:t>.</w:t>
            </w:r>
            <w:r w:rsidR="002010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B7010">
              <w:rPr>
                <w:rFonts w:ascii="Arial" w:hAnsi="Arial" w:cs="Arial"/>
                <w:sz w:val="22"/>
                <w:szCs w:val="22"/>
              </w:rPr>
              <w:t xml:space="preserve">Here we present lessons from </w:t>
            </w:r>
            <w:r w:rsidR="002E0DD3">
              <w:rPr>
                <w:rFonts w:ascii="Arial" w:hAnsi="Arial" w:cs="Arial"/>
                <w:sz w:val="22"/>
                <w:szCs w:val="22"/>
              </w:rPr>
              <w:t>examples of</w:t>
            </w:r>
            <w:r w:rsidR="007D3700">
              <w:rPr>
                <w:rFonts w:ascii="Arial" w:hAnsi="Arial" w:cs="Arial"/>
                <w:sz w:val="22"/>
                <w:szCs w:val="22"/>
              </w:rPr>
              <w:t xml:space="preserve"> implemented adaptation </w:t>
            </w:r>
            <w:r w:rsidR="001B7010">
              <w:rPr>
                <w:rFonts w:ascii="Arial" w:hAnsi="Arial" w:cs="Arial"/>
                <w:sz w:val="22"/>
                <w:szCs w:val="22"/>
              </w:rPr>
              <w:t xml:space="preserve">to explain what enables </w:t>
            </w:r>
            <w:r w:rsidR="00891697">
              <w:rPr>
                <w:rFonts w:ascii="Arial" w:hAnsi="Arial" w:cs="Arial"/>
                <w:sz w:val="22"/>
                <w:szCs w:val="22"/>
              </w:rPr>
              <w:t>seemingly positive adaptation outcomes</w:t>
            </w:r>
            <w:r w:rsidR="007D3700">
              <w:rPr>
                <w:rFonts w:ascii="Arial" w:hAnsi="Arial" w:cs="Arial"/>
                <w:sz w:val="22"/>
                <w:szCs w:val="22"/>
              </w:rPr>
              <w:t>.</w:t>
            </w:r>
            <w:r w:rsidR="00CD264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91697">
              <w:rPr>
                <w:rFonts w:ascii="Arial" w:hAnsi="Arial" w:cs="Arial"/>
                <w:sz w:val="22"/>
                <w:szCs w:val="22"/>
              </w:rPr>
              <w:t>Drawing on</w:t>
            </w:r>
            <w:r w:rsidR="00D3666B">
              <w:rPr>
                <w:rFonts w:ascii="Arial" w:hAnsi="Arial" w:cs="Arial"/>
                <w:sz w:val="22"/>
                <w:szCs w:val="22"/>
              </w:rPr>
              <w:t xml:space="preserve"> three years of research, this paper summarises findings from case studies on ‘</w:t>
            </w:r>
            <w:r w:rsidR="00F42ECC">
              <w:rPr>
                <w:rFonts w:ascii="Arial" w:hAnsi="Arial" w:cs="Arial"/>
                <w:sz w:val="22"/>
                <w:szCs w:val="22"/>
              </w:rPr>
              <w:t xml:space="preserve">good’ </w:t>
            </w:r>
            <w:r w:rsidR="00D3666B">
              <w:rPr>
                <w:rFonts w:ascii="Arial" w:hAnsi="Arial" w:cs="Arial"/>
                <w:sz w:val="22"/>
                <w:szCs w:val="22"/>
              </w:rPr>
              <w:t xml:space="preserve">climate change adaptation in Australia to identify </w:t>
            </w:r>
            <w:r w:rsidR="00A9005B">
              <w:rPr>
                <w:rFonts w:ascii="Arial" w:hAnsi="Arial" w:cs="Arial"/>
                <w:sz w:val="22"/>
                <w:szCs w:val="22"/>
              </w:rPr>
              <w:t>contributing</w:t>
            </w:r>
            <w:r w:rsidR="00D3666B">
              <w:rPr>
                <w:rFonts w:ascii="Arial" w:hAnsi="Arial" w:cs="Arial"/>
                <w:sz w:val="22"/>
                <w:szCs w:val="22"/>
              </w:rPr>
              <w:t xml:space="preserve"> enabling factors.</w:t>
            </w:r>
            <w:r w:rsidR="007402A2">
              <w:rPr>
                <w:rFonts w:ascii="Arial" w:hAnsi="Arial" w:cs="Arial"/>
                <w:sz w:val="22"/>
                <w:szCs w:val="22"/>
              </w:rPr>
              <w:t xml:space="preserve"> This includes an</w:t>
            </w:r>
            <w:r w:rsidR="00D3666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402A2">
              <w:rPr>
                <w:rFonts w:ascii="Arial" w:hAnsi="Arial" w:cs="Arial"/>
                <w:sz w:val="22"/>
                <w:szCs w:val="22"/>
              </w:rPr>
              <w:t>i</w:t>
            </w:r>
            <w:r w:rsidR="001A6E82">
              <w:rPr>
                <w:rFonts w:ascii="Arial" w:hAnsi="Arial" w:cs="Arial"/>
                <w:sz w:val="22"/>
                <w:szCs w:val="22"/>
              </w:rPr>
              <w:t>nvestigati</w:t>
            </w:r>
            <w:r w:rsidR="007402A2">
              <w:rPr>
                <w:rFonts w:ascii="Arial" w:hAnsi="Arial" w:cs="Arial"/>
                <w:sz w:val="22"/>
                <w:szCs w:val="22"/>
              </w:rPr>
              <w:t>on of</w:t>
            </w:r>
            <w:r w:rsidR="001A6E8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F0C19">
              <w:rPr>
                <w:rFonts w:ascii="Arial" w:hAnsi="Arial" w:cs="Arial"/>
                <w:sz w:val="22"/>
                <w:szCs w:val="22"/>
              </w:rPr>
              <w:t xml:space="preserve">two nature-based artificial reef projects implemented by </w:t>
            </w:r>
            <w:r w:rsidR="00F100D2">
              <w:rPr>
                <w:rFonts w:ascii="Arial" w:hAnsi="Arial" w:cs="Arial"/>
                <w:sz w:val="22"/>
                <w:szCs w:val="22"/>
              </w:rPr>
              <w:t>The City of Greater Geelong</w:t>
            </w:r>
            <w:r w:rsidR="00DF0C19">
              <w:rPr>
                <w:rFonts w:ascii="Arial" w:hAnsi="Arial" w:cs="Arial"/>
                <w:sz w:val="22"/>
                <w:szCs w:val="22"/>
              </w:rPr>
              <w:t xml:space="preserve"> in </w:t>
            </w:r>
            <w:r w:rsidR="00F100D2">
              <w:rPr>
                <w:rFonts w:ascii="Arial" w:hAnsi="Arial" w:cs="Arial"/>
                <w:sz w:val="22"/>
                <w:szCs w:val="22"/>
              </w:rPr>
              <w:t>Victoria</w:t>
            </w:r>
            <w:r w:rsidR="00DF0C19">
              <w:rPr>
                <w:rFonts w:ascii="Arial" w:hAnsi="Arial" w:cs="Arial"/>
                <w:sz w:val="22"/>
                <w:szCs w:val="22"/>
              </w:rPr>
              <w:t xml:space="preserve">, and </w:t>
            </w:r>
            <w:r w:rsidR="00A5629C">
              <w:rPr>
                <w:rFonts w:ascii="Arial" w:hAnsi="Arial" w:cs="Arial"/>
                <w:sz w:val="22"/>
                <w:szCs w:val="22"/>
              </w:rPr>
              <w:t>targeted climate information products</w:t>
            </w:r>
            <w:r w:rsidR="00DF0C19">
              <w:rPr>
                <w:rFonts w:ascii="Arial" w:hAnsi="Arial" w:cs="Arial"/>
                <w:sz w:val="22"/>
                <w:szCs w:val="22"/>
              </w:rPr>
              <w:t xml:space="preserve"> developed by the Tasmanian</w:t>
            </w:r>
            <w:r w:rsidR="00A5629C">
              <w:rPr>
                <w:rFonts w:ascii="Arial" w:hAnsi="Arial" w:cs="Arial"/>
                <w:sz w:val="22"/>
                <w:szCs w:val="22"/>
              </w:rPr>
              <w:t xml:space="preserve"> state government </w:t>
            </w:r>
            <w:r w:rsidR="00DF0C19">
              <w:rPr>
                <w:rFonts w:ascii="Arial" w:hAnsi="Arial" w:cs="Arial"/>
                <w:sz w:val="22"/>
                <w:szCs w:val="22"/>
              </w:rPr>
              <w:t>which enabled adaptatio</w:t>
            </w:r>
            <w:r w:rsidR="00DF7709">
              <w:rPr>
                <w:rFonts w:ascii="Arial" w:hAnsi="Arial" w:cs="Arial"/>
                <w:sz w:val="22"/>
                <w:szCs w:val="22"/>
              </w:rPr>
              <w:t>n</w:t>
            </w:r>
            <w:r w:rsidR="00DF0C19">
              <w:rPr>
                <w:rFonts w:ascii="Arial" w:hAnsi="Arial" w:cs="Arial"/>
                <w:sz w:val="22"/>
                <w:szCs w:val="22"/>
              </w:rPr>
              <w:t xml:space="preserve"> in</w:t>
            </w:r>
            <w:r w:rsidR="00A5629C">
              <w:rPr>
                <w:rFonts w:ascii="Arial" w:hAnsi="Arial" w:cs="Arial"/>
                <w:sz w:val="22"/>
                <w:szCs w:val="22"/>
              </w:rPr>
              <w:t xml:space="preserve"> Tasmania’s Wine Sector.  </w:t>
            </w:r>
          </w:p>
          <w:p w14:paraId="634184BB" w14:textId="77777777" w:rsidR="00242865" w:rsidRDefault="00242865" w:rsidP="00C8331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8152867" w14:textId="6DB210F5" w:rsidR="00FB65E3" w:rsidRDefault="00FB65E3" w:rsidP="00C8331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65012F">
              <w:rPr>
                <w:rFonts w:ascii="Arial" w:hAnsi="Arial" w:cs="Arial"/>
                <w:b/>
                <w:sz w:val="22"/>
                <w:szCs w:val="22"/>
              </w:rPr>
              <w:t>bjectives</w:t>
            </w:r>
          </w:p>
          <w:p w14:paraId="1F9917FA" w14:textId="653A8417" w:rsidR="0080339E" w:rsidRDefault="00242865" w:rsidP="0080339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42865">
              <w:rPr>
                <w:rFonts w:ascii="Arial" w:hAnsi="Arial" w:cs="Arial"/>
                <w:bCs/>
                <w:sz w:val="22"/>
                <w:szCs w:val="22"/>
              </w:rPr>
              <w:t>This resear</w:t>
            </w:r>
            <w:r w:rsidR="008F529E">
              <w:rPr>
                <w:rFonts w:ascii="Arial" w:hAnsi="Arial" w:cs="Arial"/>
                <w:bCs/>
                <w:sz w:val="22"/>
                <w:szCs w:val="22"/>
              </w:rPr>
              <w:t xml:space="preserve">ch aimed to </w:t>
            </w:r>
            <w:r w:rsidR="00F03524">
              <w:rPr>
                <w:rFonts w:ascii="Arial" w:hAnsi="Arial" w:cs="Arial"/>
                <w:bCs/>
                <w:sz w:val="22"/>
                <w:szCs w:val="22"/>
              </w:rPr>
              <w:t xml:space="preserve">understand if there are enabling factors which can promote or influence </w:t>
            </w:r>
            <w:r w:rsidR="008F529E">
              <w:rPr>
                <w:rFonts w:ascii="Arial" w:hAnsi="Arial" w:cs="Arial"/>
                <w:bCs/>
                <w:sz w:val="22"/>
                <w:szCs w:val="22"/>
              </w:rPr>
              <w:t>climate change adaptation</w:t>
            </w:r>
            <w:r w:rsidR="004E0609">
              <w:rPr>
                <w:rFonts w:ascii="Arial" w:hAnsi="Arial" w:cs="Arial"/>
                <w:bCs/>
                <w:sz w:val="22"/>
                <w:szCs w:val="22"/>
              </w:rPr>
              <w:t>, with a focus on good adaptation practices</w:t>
            </w:r>
            <w:r w:rsidR="0080339E"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</w:p>
          <w:p w14:paraId="4FFF6520" w14:textId="77777777" w:rsidR="004E0609" w:rsidRPr="004E0609" w:rsidRDefault="004E0609" w:rsidP="0080339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7C1D25B" w14:textId="5C51039C" w:rsidR="00FB65E3" w:rsidRDefault="00FB65E3" w:rsidP="00C8331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</w:t>
            </w:r>
            <w:r w:rsidRPr="0065012F">
              <w:rPr>
                <w:rFonts w:ascii="Arial" w:hAnsi="Arial" w:cs="Arial"/>
                <w:b/>
                <w:sz w:val="22"/>
                <w:szCs w:val="22"/>
              </w:rPr>
              <w:t>ethod</w:t>
            </w:r>
            <w:r>
              <w:rPr>
                <w:rFonts w:ascii="Arial" w:hAnsi="Arial" w:cs="Arial"/>
                <w:b/>
                <w:sz w:val="22"/>
                <w:szCs w:val="22"/>
              </w:rPr>
              <w:t>ology</w:t>
            </w:r>
          </w:p>
          <w:p w14:paraId="4AE91891" w14:textId="1629E997" w:rsidR="00362FBC" w:rsidRDefault="009E1623" w:rsidP="001B57B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Five c</w:t>
            </w:r>
            <w:r w:rsidR="00364440">
              <w:rPr>
                <w:rFonts w:ascii="Arial" w:hAnsi="Arial" w:cs="Arial"/>
                <w:bCs/>
                <w:sz w:val="22"/>
                <w:szCs w:val="22"/>
              </w:rPr>
              <w:t xml:space="preserve">ase studies with differentiated </w:t>
            </w:r>
            <w:r w:rsidR="00407976">
              <w:rPr>
                <w:rFonts w:ascii="Arial" w:hAnsi="Arial" w:cs="Arial"/>
                <w:bCs/>
                <w:sz w:val="22"/>
                <w:szCs w:val="22"/>
              </w:rPr>
              <w:t>geographic locations, lead actors, climate hazards or types of adaptation</w:t>
            </w:r>
            <w:r w:rsidR="00364440">
              <w:rPr>
                <w:rFonts w:ascii="Arial" w:hAnsi="Arial" w:cs="Arial"/>
                <w:bCs/>
                <w:sz w:val="22"/>
                <w:szCs w:val="22"/>
              </w:rPr>
              <w:t xml:space="preserve"> were selected for inclusion. </w:t>
            </w:r>
            <w:r w:rsidR="008D5CEB">
              <w:rPr>
                <w:rFonts w:ascii="Arial" w:hAnsi="Arial" w:cs="Arial"/>
                <w:bCs/>
                <w:sz w:val="22"/>
                <w:szCs w:val="22"/>
              </w:rPr>
              <w:t>Data was collected primarily through semi-structured interviews</w:t>
            </w:r>
            <w:r w:rsidR="00D418F5">
              <w:rPr>
                <w:rFonts w:ascii="Arial" w:hAnsi="Arial" w:cs="Arial"/>
                <w:bCs/>
                <w:sz w:val="22"/>
                <w:szCs w:val="22"/>
              </w:rPr>
              <w:t xml:space="preserve">, with a focus </w:t>
            </w:r>
            <w:r w:rsidR="008F2DD6">
              <w:rPr>
                <w:rFonts w:ascii="Arial" w:hAnsi="Arial" w:cs="Arial"/>
                <w:bCs/>
                <w:sz w:val="22"/>
                <w:szCs w:val="22"/>
              </w:rPr>
              <w:t xml:space="preserve">on </w:t>
            </w:r>
            <w:r w:rsidR="00ED7800">
              <w:rPr>
                <w:rFonts w:ascii="Arial" w:hAnsi="Arial" w:cs="Arial"/>
                <w:bCs/>
                <w:sz w:val="22"/>
                <w:szCs w:val="22"/>
              </w:rPr>
              <w:t>identifying</w:t>
            </w:r>
            <w:r w:rsidR="008F2DD6">
              <w:rPr>
                <w:rFonts w:ascii="Arial" w:hAnsi="Arial" w:cs="Arial"/>
                <w:bCs/>
                <w:sz w:val="22"/>
                <w:szCs w:val="22"/>
              </w:rPr>
              <w:t xml:space="preserve"> key enabling factors integral to implementation</w:t>
            </w:r>
            <w:r w:rsidR="0088444B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="008F2DD6">
              <w:rPr>
                <w:rFonts w:ascii="Arial" w:hAnsi="Arial" w:cs="Arial"/>
                <w:bCs/>
                <w:sz w:val="22"/>
                <w:szCs w:val="22"/>
              </w:rPr>
              <w:t xml:space="preserve"> and </w:t>
            </w:r>
            <w:r w:rsidR="0088444B">
              <w:rPr>
                <w:rFonts w:ascii="Arial" w:hAnsi="Arial" w:cs="Arial"/>
                <w:bCs/>
                <w:sz w:val="22"/>
                <w:szCs w:val="22"/>
              </w:rPr>
              <w:t>of factors</w:t>
            </w:r>
            <w:r w:rsidR="008F2DD6">
              <w:rPr>
                <w:rFonts w:ascii="Arial" w:hAnsi="Arial" w:cs="Arial"/>
                <w:bCs/>
                <w:sz w:val="22"/>
                <w:szCs w:val="22"/>
              </w:rPr>
              <w:t xml:space="preserve"> considered </w:t>
            </w:r>
            <w:r w:rsidR="0088444B">
              <w:rPr>
                <w:rFonts w:ascii="Arial" w:hAnsi="Arial" w:cs="Arial"/>
                <w:bCs/>
                <w:sz w:val="22"/>
                <w:szCs w:val="22"/>
              </w:rPr>
              <w:t xml:space="preserve">to make these examples of </w:t>
            </w:r>
            <w:r w:rsidR="008F2DD6">
              <w:rPr>
                <w:rFonts w:ascii="Arial" w:hAnsi="Arial" w:cs="Arial"/>
                <w:bCs/>
                <w:sz w:val="22"/>
                <w:szCs w:val="22"/>
              </w:rPr>
              <w:t xml:space="preserve">good practice. </w:t>
            </w:r>
            <w:r w:rsidR="00133CDD">
              <w:rPr>
                <w:rFonts w:ascii="Arial" w:hAnsi="Arial" w:cs="Arial"/>
                <w:bCs/>
                <w:sz w:val="22"/>
                <w:szCs w:val="22"/>
              </w:rPr>
              <w:t>Interviewees were largely identified through snowballing.</w:t>
            </w:r>
            <w:r w:rsidR="001B57B4">
              <w:rPr>
                <w:rFonts w:ascii="Arial" w:hAnsi="Arial" w:cs="Arial"/>
                <w:bCs/>
                <w:sz w:val="22"/>
                <w:szCs w:val="22"/>
              </w:rPr>
              <w:t xml:space="preserve"> Online searches were used to collect additional information</w:t>
            </w:r>
            <w:r w:rsidR="0088444B">
              <w:rPr>
                <w:rFonts w:ascii="Arial" w:hAnsi="Arial" w:cs="Arial"/>
                <w:bCs/>
                <w:sz w:val="22"/>
                <w:szCs w:val="22"/>
              </w:rPr>
              <w:t xml:space="preserve"> including media, </w:t>
            </w:r>
            <w:r w:rsidR="001B57B4">
              <w:rPr>
                <w:rFonts w:ascii="Arial" w:hAnsi="Arial" w:cs="Arial"/>
                <w:bCs/>
                <w:sz w:val="22"/>
                <w:szCs w:val="22"/>
              </w:rPr>
              <w:t xml:space="preserve">existing academic research and any documents referred to in the interview process. </w:t>
            </w:r>
          </w:p>
          <w:p w14:paraId="7F7B4166" w14:textId="77777777" w:rsidR="001B57B4" w:rsidRPr="001B57B4" w:rsidRDefault="001B57B4" w:rsidP="001B57B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C495B6F" w14:textId="0AB48899" w:rsidR="00FB65E3" w:rsidRDefault="00FB65E3" w:rsidP="00C8331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</w:t>
            </w:r>
            <w:r w:rsidRPr="0065012F">
              <w:rPr>
                <w:rFonts w:ascii="Arial" w:hAnsi="Arial" w:cs="Arial"/>
                <w:b/>
                <w:sz w:val="22"/>
                <w:szCs w:val="22"/>
              </w:rPr>
              <w:t>inding</w:t>
            </w: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  <w:p w14:paraId="0E94C613" w14:textId="4584703F" w:rsidR="002201A6" w:rsidRDefault="006A6DBC" w:rsidP="002201A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D7800">
              <w:rPr>
                <w:rFonts w:ascii="Arial" w:hAnsi="Arial" w:cs="Arial"/>
                <w:bCs/>
                <w:sz w:val="22"/>
                <w:szCs w:val="22"/>
              </w:rPr>
              <w:t>This research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confirms the findings of existing literature </w:t>
            </w:r>
            <w:r w:rsidR="005968F6">
              <w:rPr>
                <w:rFonts w:ascii="Arial" w:hAnsi="Arial" w:cs="Arial"/>
                <w:bCs/>
                <w:sz w:val="22"/>
                <w:szCs w:val="22"/>
              </w:rPr>
              <w:t>on the importance of local leadership and local ‘champion</w:t>
            </w:r>
            <w:r w:rsidR="002201A6">
              <w:rPr>
                <w:rFonts w:ascii="Arial" w:hAnsi="Arial" w:cs="Arial"/>
                <w:bCs/>
                <w:sz w:val="22"/>
                <w:szCs w:val="22"/>
              </w:rPr>
              <w:t xml:space="preserve">s. The cases demonstrate evidence to support </w:t>
            </w:r>
            <w:r w:rsidR="00E16157">
              <w:rPr>
                <w:rFonts w:ascii="Arial" w:hAnsi="Arial" w:cs="Arial"/>
                <w:bCs/>
                <w:sz w:val="22"/>
                <w:szCs w:val="22"/>
              </w:rPr>
              <w:t>the idea that</w:t>
            </w:r>
            <w:r w:rsidR="002201A6">
              <w:rPr>
                <w:rFonts w:ascii="Arial" w:hAnsi="Arial" w:cs="Arial"/>
                <w:bCs/>
                <w:sz w:val="22"/>
                <w:szCs w:val="22"/>
              </w:rPr>
              <w:t xml:space="preserve"> well-known factors of proper consultation and engagement, ongoing substantive investment and coordinated, well-backed policies are important in seeing through substantive change. Further to this, it begins to demonstrate how enabling policies and programs can flow down to have the desired ‘on-ground impact. </w:t>
            </w:r>
          </w:p>
          <w:p w14:paraId="5545B413" w14:textId="7C7F7847" w:rsidR="00FB65E3" w:rsidRDefault="00FB65E3" w:rsidP="00C8331F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E1A1564" w14:textId="77777777" w:rsidR="00FB65E3" w:rsidRDefault="00FB65E3" w:rsidP="00C8331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65012F">
              <w:rPr>
                <w:rFonts w:ascii="Arial" w:hAnsi="Arial" w:cs="Arial"/>
                <w:b/>
                <w:sz w:val="22"/>
                <w:szCs w:val="22"/>
              </w:rPr>
              <w:t xml:space="preserve">ignificance of the work for policy and practice </w:t>
            </w:r>
          </w:p>
          <w:p w14:paraId="79B38B05" w14:textId="2455DE92" w:rsidR="00FB65E3" w:rsidRPr="00ED7800" w:rsidRDefault="00ED7800" w:rsidP="00C8331F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D7800">
              <w:rPr>
                <w:rFonts w:ascii="Arial" w:hAnsi="Arial" w:cs="Arial"/>
                <w:bCs/>
                <w:sz w:val="22"/>
                <w:szCs w:val="22"/>
              </w:rPr>
              <w:t>This research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6A6DBC">
              <w:rPr>
                <w:rFonts w:ascii="Arial" w:hAnsi="Arial" w:cs="Arial"/>
                <w:bCs/>
                <w:sz w:val="22"/>
                <w:szCs w:val="22"/>
              </w:rPr>
              <w:t>builds on insights from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existing literature with significant additional empirical evidence. It offers new insights into the complex interactions between different enabling factors and their context-dependent nature. </w:t>
            </w:r>
            <w:r w:rsidR="006A6DBC">
              <w:rPr>
                <w:rFonts w:ascii="Arial" w:hAnsi="Arial" w:cs="Arial"/>
                <w:bCs/>
                <w:sz w:val="22"/>
                <w:szCs w:val="22"/>
              </w:rPr>
              <w:t xml:space="preserve">This research is being used to build a framework of enabling factors as a tool for adaptation practitioners. </w:t>
            </w:r>
          </w:p>
          <w:p w14:paraId="77E93C05" w14:textId="77777777" w:rsidR="00FB65E3" w:rsidRDefault="00FB65E3" w:rsidP="00C8331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39173F0" w14:textId="77777777" w:rsidR="00FB65E3" w:rsidRPr="000D7047" w:rsidRDefault="00FB65E3" w:rsidP="00982E5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708763D" w14:textId="77777777" w:rsidR="00FB65E3" w:rsidRDefault="00FB65E3"/>
    <w:sectPr w:rsidR="00FB65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-webkit-standard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C3172"/>
    <w:multiLevelType w:val="hybridMultilevel"/>
    <w:tmpl w:val="49D601AA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0D0B82"/>
    <w:multiLevelType w:val="hybridMultilevel"/>
    <w:tmpl w:val="6CEC1BCC"/>
    <w:lvl w:ilvl="0" w:tplc="4C1A05A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5E2827"/>
    <w:multiLevelType w:val="hybridMultilevel"/>
    <w:tmpl w:val="976237FA"/>
    <w:lvl w:ilvl="0" w:tplc="DC462E40">
      <w:start w:val="1"/>
      <w:numFmt w:val="decimal"/>
      <w:lvlText w:val="%1.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617B74"/>
    <w:multiLevelType w:val="hybridMultilevel"/>
    <w:tmpl w:val="DF66F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212BC"/>
    <w:multiLevelType w:val="hybridMultilevel"/>
    <w:tmpl w:val="48148CD4"/>
    <w:lvl w:ilvl="0" w:tplc="7594137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2168163">
    <w:abstractNumId w:val="2"/>
  </w:num>
  <w:num w:numId="2" w16cid:durableId="1316374630">
    <w:abstractNumId w:val="0"/>
  </w:num>
  <w:num w:numId="3" w16cid:durableId="1402680592">
    <w:abstractNumId w:val="3"/>
  </w:num>
  <w:num w:numId="4" w16cid:durableId="613946446">
    <w:abstractNumId w:val="4"/>
  </w:num>
  <w:num w:numId="5" w16cid:durableId="7363632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AC3"/>
    <w:rsid w:val="00001B23"/>
    <w:rsid w:val="00003C46"/>
    <w:rsid w:val="00006D68"/>
    <w:rsid w:val="00021AD5"/>
    <w:rsid w:val="000777A4"/>
    <w:rsid w:val="000B256B"/>
    <w:rsid w:val="000C0B53"/>
    <w:rsid w:val="000C5B63"/>
    <w:rsid w:val="000D0165"/>
    <w:rsid w:val="000E7D42"/>
    <w:rsid w:val="00101356"/>
    <w:rsid w:val="001037A7"/>
    <w:rsid w:val="00124EE8"/>
    <w:rsid w:val="00127B67"/>
    <w:rsid w:val="00133CDD"/>
    <w:rsid w:val="00137CF2"/>
    <w:rsid w:val="00151E18"/>
    <w:rsid w:val="001562EB"/>
    <w:rsid w:val="00156C6C"/>
    <w:rsid w:val="001704BC"/>
    <w:rsid w:val="0017403F"/>
    <w:rsid w:val="001849A9"/>
    <w:rsid w:val="001873B1"/>
    <w:rsid w:val="0019607F"/>
    <w:rsid w:val="00196745"/>
    <w:rsid w:val="001A0A8D"/>
    <w:rsid w:val="001A6E82"/>
    <w:rsid w:val="001A75A0"/>
    <w:rsid w:val="001A7C26"/>
    <w:rsid w:val="001B1C5A"/>
    <w:rsid w:val="001B57B4"/>
    <w:rsid w:val="001B7010"/>
    <w:rsid w:val="001C0B41"/>
    <w:rsid w:val="001F11FB"/>
    <w:rsid w:val="001F6B80"/>
    <w:rsid w:val="002010FB"/>
    <w:rsid w:val="00205AC3"/>
    <w:rsid w:val="00213241"/>
    <w:rsid w:val="0021761E"/>
    <w:rsid w:val="002201A6"/>
    <w:rsid w:val="00222696"/>
    <w:rsid w:val="00242799"/>
    <w:rsid w:val="00242865"/>
    <w:rsid w:val="002517C9"/>
    <w:rsid w:val="0025555C"/>
    <w:rsid w:val="00264ACE"/>
    <w:rsid w:val="00275090"/>
    <w:rsid w:val="002754A3"/>
    <w:rsid w:val="00276C80"/>
    <w:rsid w:val="0027728C"/>
    <w:rsid w:val="002C148E"/>
    <w:rsid w:val="002C4F5A"/>
    <w:rsid w:val="002C7E13"/>
    <w:rsid w:val="002D382C"/>
    <w:rsid w:val="002D7A8F"/>
    <w:rsid w:val="002E0DD3"/>
    <w:rsid w:val="002F1388"/>
    <w:rsid w:val="002F1EFE"/>
    <w:rsid w:val="003044A4"/>
    <w:rsid w:val="003119E9"/>
    <w:rsid w:val="00316DA5"/>
    <w:rsid w:val="00322BAF"/>
    <w:rsid w:val="00324507"/>
    <w:rsid w:val="00354C36"/>
    <w:rsid w:val="00362FBC"/>
    <w:rsid w:val="003638A4"/>
    <w:rsid w:val="00364440"/>
    <w:rsid w:val="00376495"/>
    <w:rsid w:val="003D3877"/>
    <w:rsid w:val="003E215E"/>
    <w:rsid w:val="00402862"/>
    <w:rsid w:val="00407976"/>
    <w:rsid w:val="004100D7"/>
    <w:rsid w:val="00421B7A"/>
    <w:rsid w:val="00425F33"/>
    <w:rsid w:val="00426AA8"/>
    <w:rsid w:val="00427809"/>
    <w:rsid w:val="004327D2"/>
    <w:rsid w:val="004411C3"/>
    <w:rsid w:val="004524EA"/>
    <w:rsid w:val="0045373E"/>
    <w:rsid w:val="00494B1F"/>
    <w:rsid w:val="004B79FF"/>
    <w:rsid w:val="004C51A7"/>
    <w:rsid w:val="004C72E3"/>
    <w:rsid w:val="004D3E0E"/>
    <w:rsid w:val="004E0609"/>
    <w:rsid w:val="004F687A"/>
    <w:rsid w:val="00510B86"/>
    <w:rsid w:val="00521C86"/>
    <w:rsid w:val="00526D5E"/>
    <w:rsid w:val="00551675"/>
    <w:rsid w:val="00576F8E"/>
    <w:rsid w:val="005968F6"/>
    <w:rsid w:val="005A5325"/>
    <w:rsid w:val="005D775F"/>
    <w:rsid w:val="005F439F"/>
    <w:rsid w:val="00620375"/>
    <w:rsid w:val="00620A05"/>
    <w:rsid w:val="00620AB9"/>
    <w:rsid w:val="00631A21"/>
    <w:rsid w:val="00634F9D"/>
    <w:rsid w:val="00636EA8"/>
    <w:rsid w:val="00670476"/>
    <w:rsid w:val="0069311A"/>
    <w:rsid w:val="006A4F25"/>
    <w:rsid w:val="006A6DBC"/>
    <w:rsid w:val="006B515A"/>
    <w:rsid w:val="006D4555"/>
    <w:rsid w:val="006D5645"/>
    <w:rsid w:val="006E162A"/>
    <w:rsid w:val="006E348F"/>
    <w:rsid w:val="006E4BB8"/>
    <w:rsid w:val="006E7095"/>
    <w:rsid w:val="006E7CD6"/>
    <w:rsid w:val="006F4E0B"/>
    <w:rsid w:val="00700613"/>
    <w:rsid w:val="0070422D"/>
    <w:rsid w:val="00710C9A"/>
    <w:rsid w:val="00725EFE"/>
    <w:rsid w:val="0073398A"/>
    <w:rsid w:val="00734042"/>
    <w:rsid w:val="007402A2"/>
    <w:rsid w:val="00741179"/>
    <w:rsid w:val="007429E4"/>
    <w:rsid w:val="00765755"/>
    <w:rsid w:val="00772962"/>
    <w:rsid w:val="00773E27"/>
    <w:rsid w:val="0077784A"/>
    <w:rsid w:val="0078077B"/>
    <w:rsid w:val="007939B1"/>
    <w:rsid w:val="007B6C2F"/>
    <w:rsid w:val="007D0A04"/>
    <w:rsid w:val="007D3700"/>
    <w:rsid w:val="007D745E"/>
    <w:rsid w:val="007E4569"/>
    <w:rsid w:val="0080339E"/>
    <w:rsid w:val="00806E53"/>
    <w:rsid w:val="00810C6F"/>
    <w:rsid w:val="00811147"/>
    <w:rsid w:val="008128FA"/>
    <w:rsid w:val="00841E8B"/>
    <w:rsid w:val="008432AC"/>
    <w:rsid w:val="0085040C"/>
    <w:rsid w:val="008532F4"/>
    <w:rsid w:val="00854AFF"/>
    <w:rsid w:val="00865BAB"/>
    <w:rsid w:val="00876479"/>
    <w:rsid w:val="0088444B"/>
    <w:rsid w:val="00891697"/>
    <w:rsid w:val="008D3825"/>
    <w:rsid w:val="008D5CEB"/>
    <w:rsid w:val="008E7229"/>
    <w:rsid w:val="008F2DD6"/>
    <w:rsid w:val="008F529E"/>
    <w:rsid w:val="009106D5"/>
    <w:rsid w:val="009237E6"/>
    <w:rsid w:val="00943631"/>
    <w:rsid w:val="00945C25"/>
    <w:rsid w:val="00961A67"/>
    <w:rsid w:val="00965274"/>
    <w:rsid w:val="00982E57"/>
    <w:rsid w:val="00991529"/>
    <w:rsid w:val="009A5ADE"/>
    <w:rsid w:val="009B0C22"/>
    <w:rsid w:val="009B12CA"/>
    <w:rsid w:val="009B6648"/>
    <w:rsid w:val="009C554E"/>
    <w:rsid w:val="009E1623"/>
    <w:rsid w:val="00A34159"/>
    <w:rsid w:val="00A360FB"/>
    <w:rsid w:val="00A37DD6"/>
    <w:rsid w:val="00A44BD2"/>
    <w:rsid w:val="00A47078"/>
    <w:rsid w:val="00A47A27"/>
    <w:rsid w:val="00A525A1"/>
    <w:rsid w:val="00A5343D"/>
    <w:rsid w:val="00A5629C"/>
    <w:rsid w:val="00A56938"/>
    <w:rsid w:val="00A75834"/>
    <w:rsid w:val="00A856FC"/>
    <w:rsid w:val="00A9005B"/>
    <w:rsid w:val="00A95ECB"/>
    <w:rsid w:val="00AB108B"/>
    <w:rsid w:val="00AB2682"/>
    <w:rsid w:val="00AB4A28"/>
    <w:rsid w:val="00AC22CE"/>
    <w:rsid w:val="00AD16DB"/>
    <w:rsid w:val="00AD3602"/>
    <w:rsid w:val="00AE756E"/>
    <w:rsid w:val="00AF2852"/>
    <w:rsid w:val="00B0519F"/>
    <w:rsid w:val="00B1092F"/>
    <w:rsid w:val="00B1343A"/>
    <w:rsid w:val="00B3338D"/>
    <w:rsid w:val="00B572F1"/>
    <w:rsid w:val="00B62E7F"/>
    <w:rsid w:val="00B65FE5"/>
    <w:rsid w:val="00B778C4"/>
    <w:rsid w:val="00B84988"/>
    <w:rsid w:val="00B859BC"/>
    <w:rsid w:val="00BA084D"/>
    <w:rsid w:val="00BA235D"/>
    <w:rsid w:val="00BD32FD"/>
    <w:rsid w:val="00BE2486"/>
    <w:rsid w:val="00BF5469"/>
    <w:rsid w:val="00BF5C5E"/>
    <w:rsid w:val="00BF7388"/>
    <w:rsid w:val="00C135B0"/>
    <w:rsid w:val="00C32B11"/>
    <w:rsid w:val="00C35D56"/>
    <w:rsid w:val="00C40082"/>
    <w:rsid w:val="00C43156"/>
    <w:rsid w:val="00C43345"/>
    <w:rsid w:val="00C62161"/>
    <w:rsid w:val="00C63CFE"/>
    <w:rsid w:val="00C66CEC"/>
    <w:rsid w:val="00C80AB5"/>
    <w:rsid w:val="00C92C01"/>
    <w:rsid w:val="00CB0D7B"/>
    <w:rsid w:val="00CC0A44"/>
    <w:rsid w:val="00CC1F67"/>
    <w:rsid w:val="00CD2644"/>
    <w:rsid w:val="00CD6DE0"/>
    <w:rsid w:val="00D00066"/>
    <w:rsid w:val="00D05FB8"/>
    <w:rsid w:val="00D16364"/>
    <w:rsid w:val="00D3666B"/>
    <w:rsid w:val="00D418F5"/>
    <w:rsid w:val="00D60CDA"/>
    <w:rsid w:val="00D73A1C"/>
    <w:rsid w:val="00D83886"/>
    <w:rsid w:val="00D8447E"/>
    <w:rsid w:val="00D84A77"/>
    <w:rsid w:val="00D87EF5"/>
    <w:rsid w:val="00D93B36"/>
    <w:rsid w:val="00DA021E"/>
    <w:rsid w:val="00DA7E1C"/>
    <w:rsid w:val="00DC7626"/>
    <w:rsid w:val="00DC76EE"/>
    <w:rsid w:val="00DD3171"/>
    <w:rsid w:val="00DE7ACC"/>
    <w:rsid w:val="00DF0C19"/>
    <w:rsid w:val="00DF7709"/>
    <w:rsid w:val="00E07922"/>
    <w:rsid w:val="00E16157"/>
    <w:rsid w:val="00E168FB"/>
    <w:rsid w:val="00E20A0C"/>
    <w:rsid w:val="00E2716C"/>
    <w:rsid w:val="00E47077"/>
    <w:rsid w:val="00E73DBE"/>
    <w:rsid w:val="00E82F9E"/>
    <w:rsid w:val="00E87976"/>
    <w:rsid w:val="00E87C57"/>
    <w:rsid w:val="00EB1F6A"/>
    <w:rsid w:val="00EC1EDC"/>
    <w:rsid w:val="00EC4EA4"/>
    <w:rsid w:val="00ED191D"/>
    <w:rsid w:val="00ED7800"/>
    <w:rsid w:val="00EE0DC0"/>
    <w:rsid w:val="00EF1CEC"/>
    <w:rsid w:val="00F02BF8"/>
    <w:rsid w:val="00F03524"/>
    <w:rsid w:val="00F100D2"/>
    <w:rsid w:val="00F17F2E"/>
    <w:rsid w:val="00F30387"/>
    <w:rsid w:val="00F42BC3"/>
    <w:rsid w:val="00F42ECC"/>
    <w:rsid w:val="00F540FE"/>
    <w:rsid w:val="00F56D9D"/>
    <w:rsid w:val="00F67042"/>
    <w:rsid w:val="00F70D95"/>
    <w:rsid w:val="00F72895"/>
    <w:rsid w:val="00FB65E3"/>
    <w:rsid w:val="00FD1899"/>
    <w:rsid w:val="00FE1ACD"/>
    <w:rsid w:val="00FF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8ED80"/>
  <w15:chartTrackingRefBased/>
  <w15:docId w15:val="{AAE98100-C1EA-D840-BC05-AA4A28DA3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15E"/>
  </w:style>
  <w:style w:type="paragraph" w:styleId="Heading1">
    <w:name w:val="heading 1"/>
    <w:basedOn w:val="Normal"/>
    <w:next w:val="Normal"/>
    <w:link w:val="Heading1Char"/>
    <w:uiPriority w:val="9"/>
    <w:qFormat/>
    <w:rsid w:val="00205A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5A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5A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5A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5A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5AC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5AC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5AC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5AC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5A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5A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5A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5A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5A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5A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5A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5A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5A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5A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5A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5AC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5A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5A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5A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5A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5A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5A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5A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5AC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E215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s8">
    <w:name w:val="s8"/>
    <w:basedOn w:val="DefaultParagraphFont"/>
    <w:rsid w:val="003E215E"/>
  </w:style>
  <w:style w:type="character" w:customStyle="1" w:styleId="apple-converted-space">
    <w:name w:val="apple-converted-space"/>
    <w:basedOn w:val="DefaultParagraphFont"/>
    <w:rsid w:val="003E215E"/>
  </w:style>
  <w:style w:type="table" w:styleId="TableGrid">
    <w:name w:val="Table Grid"/>
    <w:basedOn w:val="TableNormal"/>
    <w:rsid w:val="00FB65E3"/>
    <w:rPr>
      <w:rFonts w:ascii="Times New Roman" w:eastAsia="Times New Roman" w:hAnsi="Times New Roman" w:cs="Times New Roman"/>
      <w:kern w:val="0"/>
      <w:sz w:val="20"/>
      <w:szCs w:val="20"/>
      <w:lang w:val="en-NZ" w:eastAsia="en-N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17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8936BC-8B2E-4741-AFF9-57C44B126B79}"/>
</file>

<file path=customXml/itemProps2.xml><?xml version="1.0" encoding="utf-8"?>
<ds:datastoreItem xmlns:ds="http://schemas.openxmlformats.org/officeDocument/2006/customXml" ds:itemID="{0DA6CD15-20EC-48AF-8B0B-3D3B4F643366}"/>
</file>

<file path=customXml/itemProps3.xml><?xml version="1.0" encoding="utf-8"?>
<ds:datastoreItem xmlns:ds="http://schemas.openxmlformats.org/officeDocument/2006/customXml" ds:itemID="{558DED32-9135-466E-9DDB-B835A1CF209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418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 Brullo</dc:creator>
  <cp:keywords/>
  <dc:description/>
  <cp:lastModifiedBy>Bethany Yee</cp:lastModifiedBy>
  <cp:revision>16</cp:revision>
  <dcterms:created xsi:type="dcterms:W3CDTF">2025-01-13T23:32:00Z</dcterms:created>
  <dcterms:modified xsi:type="dcterms:W3CDTF">2025-08-08T21:26:00Z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