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1564A4" w:rsidRPr="0050053A" w14:paraId="5C38377B" w14:textId="77777777" w:rsidTr="001B4C8E">
        <w:trPr>
          <w:trHeight w:val="558"/>
          <w:jc w:val="center"/>
        </w:trPr>
        <w:tc>
          <w:tcPr>
            <w:tcW w:w="9351" w:type="dxa"/>
            <w:shd w:val="clear" w:color="auto" w:fill="auto"/>
          </w:tcPr>
          <w:p w14:paraId="5C44F357" w14:textId="248F05FB" w:rsidR="001564A4" w:rsidRPr="00C6431F" w:rsidRDefault="003B6656" w:rsidP="003B6656">
            <w:pPr>
              <w:pStyle w:val="Default"/>
              <w:rPr>
                <w:b/>
                <w:bCs/>
              </w:rPr>
            </w:pPr>
            <w:r w:rsidRPr="001F1E79">
              <w:rPr>
                <w:b/>
                <w:bCs/>
                <w:sz w:val="22"/>
                <w:szCs w:val="22"/>
              </w:rPr>
              <w:t>Asthma, gestational diabetes mellitus and adverse perinatal outcomes</w:t>
            </w:r>
          </w:p>
        </w:tc>
      </w:tr>
      <w:tr w:rsidR="001564A4" w:rsidRPr="0050053A" w14:paraId="0E2E035C" w14:textId="77777777" w:rsidTr="00941B9D">
        <w:trPr>
          <w:trHeight w:val="781"/>
          <w:jc w:val="center"/>
        </w:trPr>
        <w:tc>
          <w:tcPr>
            <w:tcW w:w="9351" w:type="dxa"/>
            <w:shd w:val="clear" w:color="auto" w:fill="auto"/>
          </w:tcPr>
          <w:p w14:paraId="73B55295" w14:textId="2E508674" w:rsidR="001564A4" w:rsidRPr="001B4C8E" w:rsidRDefault="0052704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r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Soriah </w:t>
            </w:r>
            <w:r w:rsidR="00941B9D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M </w:t>
            </w:r>
            <w:r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Harvey</w:t>
            </w:r>
            <w:r w:rsidR="008629E1" w:rsidRPr="001B4C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41B9D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70FAC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Vanessa E Murphy</w:t>
            </w:r>
            <w:r w:rsidR="00670FAC" w:rsidRPr="001B4C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670FAC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Jason Dizon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, Natasha Weaver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F01DBC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Elizabeth 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Holliday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, Kimberly</w:t>
            </w:r>
            <w:r w:rsidR="001B4C8E" w:rsidRPr="001B4C8E">
              <w:rPr>
                <w:rFonts w:ascii="Arial" w:hAnsi="Arial" w:cs="Arial"/>
                <w:sz w:val="22"/>
                <w:szCs w:val="22"/>
              </w:rPr>
              <w:t xml:space="preserve"> Barrass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1B4C8E" w:rsidRPr="001B4C8E">
              <w:rPr>
                <w:rFonts w:ascii="Arial" w:hAnsi="Arial" w:cs="Arial"/>
                <w:sz w:val="22"/>
                <w:szCs w:val="22"/>
              </w:rPr>
              <w:t>, Ashley Colaco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1B4C8E" w:rsidRPr="001B4C8E">
              <w:rPr>
                <w:rFonts w:ascii="Arial" w:hAnsi="Arial" w:cs="Arial"/>
                <w:sz w:val="22"/>
                <w:szCs w:val="22"/>
              </w:rPr>
              <w:t>, Jin Xiang Hong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1B4C8E" w:rsidRPr="001B4C8E">
              <w:rPr>
                <w:rFonts w:ascii="Arial" w:hAnsi="Arial" w:cs="Arial"/>
                <w:sz w:val="22"/>
                <w:szCs w:val="22"/>
              </w:rPr>
              <w:t>, Katherine Leverett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3B6656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Peter Gibson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1,2,3,</w:t>
            </w:r>
            <w:r w:rsidR="00C85C3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, Vanessa M McDonald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1,3,4,5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, Craig Pennell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8751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,6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, Leigh Kinsman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1B4C8E"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B4C8E" w:rsidRPr="001B4C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C8E">
              <w:rPr>
                <w:rFonts w:ascii="Arial" w:hAnsi="Arial" w:cs="Arial"/>
                <w:sz w:val="22"/>
                <w:szCs w:val="22"/>
                <w:lang w:val="en-US" w:eastAsia="en-GB"/>
              </w:rPr>
              <w:t>Megan E Jensen</w:t>
            </w:r>
            <w:r w:rsidR="008629E1" w:rsidRPr="001B4C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216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</w:p>
        </w:tc>
      </w:tr>
      <w:tr w:rsidR="001564A4" w:rsidRPr="0050053A" w14:paraId="385A19D9" w14:textId="77777777" w:rsidTr="00D521B3">
        <w:trPr>
          <w:trHeight w:val="179"/>
          <w:jc w:val="center"/>
        </w:trPr>
        <w:tc>
          <w:tcPr>
            <w:tcW w:w="9351" w:type="dxa"/>
            <w:shd w:val="clear" w:color="auto" w:fill="auto"/>
          </w:tcPr>
          <w:p w14:paraId="1643A330" w14:textId="00CF2128" w:rsidR="001564A4" w:rsidRPr="00621679" w:rsidRDefault="001564A4" w:rsidP="00621679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2167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629E1" w:rsidRPr="0062167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 and Public Health, University of Newcastle, NSW, Australia</w:t>
            </w:r>
          </w:p>
          <w:p w14:paraId="3BD815D8" w14:textId="754AEBF6" w:rsidR="001564A4" w:rsidRPr="00621679" w:rsidRDefault="001564A4" w:rsidP="00621679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2167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21679" w:rsidRPr="008E4A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Asthma and Breathing Program, Hunter Medical Research Institute, New Lambton Heights, NSW, Australi</w:t>
            </w:r>
            <w:r w:rsidR="0062167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</w:t>
            </w:r>
          </w:p>
          <w:p w14:paraId="1001E571" w14:textId="4FE0160C" w:rsidR="00621679" w:rsidRPr="00621679" w:rsidRDefault="00621679" w:rsidP="006216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3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>National Health and Medical Research Council Centre for Research Excellence in Treatable Traits, University of Newcastle, New Lambton Heights, Australia</w:t>
            </w:r>
          </w:p>
          <w:p w14:paraId="2D8A3333" w14:textId="29DAF46F" w:rsidR="00621679" w:rsidRDefault="00621679" w:rsidP="00621679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6B43C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 and Sleep Medicine, John Hunter Hospital, New Lambton Heights, Australia </w:t>
            </w:r>
          </w:p>
          <w:p w14:paraId="2E5430EA" w14:textId="77777777" w:rsidR="001564A4" w:rsidRDefault="00621679" w:rsidP="006216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21679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5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School of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Nursing and Midwifery, University of Newcastle, Callaghan, Australia</w:t>
            </w:r>
          </w:p>
          <w:p w14:paraId="45ED36BF" w14:textId="7372B9C6" w:rsidR="00F8751E" w:rsidRPr="00F8751E" w:rsidRDefault="00F8751E" w:rsidP="00621679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6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Department of maternity and gynaecology, John Hunter Hospital, New Lambton Heights, Australia</w:t>
            </w:r>
          </w:p>
        </w:tc>
      </w:tr>
      <w:tr w:rsidR="001564A4" w:rsidRPr="0050053A" w14:paraId="6DAF615A" w14:textId="77777777" w:rsidTr="00820A4E">
        <w:trPr>
          <w:trHeight w:hRule="exact" w:val="8516"/>
          <w:jc w:val="center"/>
        </w:trPr>
        <w:tc>
          <w:tcPr>
            <w:tcW w:w="9351" w:type="dxa"/>
            <w:shd w:val="clear" w:color="auto" w:fill="auto"/>
          </w:tcPr>
          <w:p w14:paraId="607236EB" w14:textId="67666643" w:rsidR="003B6656" w:rsidRPr="00C8518D" w:rsidRDefault="001564A4" w:rsidP="0052704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518D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3B6656" w:rsidRPr="00C8518D">
              <w:rPr>
                <w:rFonts w:ascii="Arial" w:hAnsi="Arial" w:cs="Arial"/>
                <w:sz w:val="22"/>
                <w:szCs w:val="22"/>
              </w:rPr>
              <w:t xml:space="preserve">Asthma and </w:t>
            </w:r>
            <w:r w:rsidR="00354841" w:rsidRPr="00C8518D">
              <w:rPr>
                <w:rFonts w:ascii="Arial" w:hAnsi="Arial" w:cs="Arial"/>
                <w:sz w:val="22"/>
                <w:szCs w:val="22"/>
              </w:rPr>
              <w:t>g</w:t>
            </w:r>
            <w:r w:rsidR="003B6656" w:rsidRPr="00C8518D">
              <w:rPr>
                <w:rFonts w:ascii="Arial" w:hAnsi="Arial" w:cs="Arial"/>
                <w:sz w:val="22"/>
                <w:szCs w:val="22"/>
              </w:rPr>
              <w:t xml:space="preserve">estational </w:t>
            </w:r>
            <w:r w:rsidR="00354841" w:rsidRPr="00C8518D">
              <w:rPr>
                <w:rFonts w:ascii="Arial" w:hAnsi="Arial" w:cs="Arial"/>
                <w:sz w:val="22"/>
                <w:szCs w:val="22"/>
              </w:rPr>
              <w:t>d</w:t>
            </w:r>
            <w:r w:rsidR="003B6656" w:rsidRPr="00C8518D">
              <w:rPr>
                <w:rFonts w:ascii="Arial" w:hAnsi="Arial" w:cs="Arial"/>
                <w:sz w:val="22"/>
                <w:szCs w:val="22"/>
              </w:rPr>
              <w:t>iabetes</w:t>
            </w:r>
            <w:r w:rsidR="00354841" w:rsidRPr="00C8518D">
              <w:rPr>
                <w:rFonts w:ascii="Arial" w:hAnsi="Arial" w:cs="Arial"/>
                <w:sz w:val="22"/>
                <w:szCs w:val="22"/>
              </w:rPr>
              <w:t xml:space="preserve"> mellitus (GDM)</w:t>
            </w:r>
            <w:r w:rsidR="003B6656" w:rsidRPr="00C8518D">
              <w:rPr>
                <w:rFonts w:ascii="Arial" w:hAnsi="Arial" w:cs="Arial"/>
                <w:sz w:val="22"/>
                <w:szCs w:val="22"/>
              </w:rPr>
              <w:t xml:space="preserve"> are both common medical conditions in pregnancy and are associated with adverse perinatal outcomes. </w:t>
            </w:r>
            <w:r w:rsidR="00355019">
              <w:rPr>
                <w:rFonts w:ascii="Arial" w:hAnsi="Arial" w:cs="Arial"/>
                <w:sz w:val="22"/>
                <w:szCs w:val="22"/>
              </w:rPr>
              <w:t xml:space="preserve">Our aim </w:t>
            </w:r>
            <w:r w:rsidR="00F400F9" w:rsidRPr="00C8518D">
              <w:rPr>
                <w:rFonts w:ascii="Arial" w:hAnsi="Arial" w:cs="Arial"/>
                <w:sz w:val="22"/>
                <w:szCs w:val="22"/>
              </w:rPr>
              <w:t>wa</w:t>
            </w:r>
            <w:r w:rsidR="003B6656" w:rsidRPr="00C8518D">
              <w:rPr>
                <w:rFonts w:ascii="Arial" w:hAnsi="Arial" w:cs="Arial"/>
                <w:sz w:val="22"/>
                <w:szCs w:val="22"/>
              </w:rPr>
              <w:t>s to compare clinical characteristics and demographics between women with and without asthma, who develop and do not develop GDM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, and compare</w:t>
            </w:r>
            <w:r w:rsidR="003B6656" w:rsidRPr="00C8518D">
              <w:rPr>
                <w:rFonts w:ascii="Arial" w:hAnsi="Arial" w:cs="Arial"/>
                <w:sz w:val="22"/>
                <w:szCs w:val="22"/>
              </w:rPr>
              <w:t xml:space="preserve"> the incidence of adverse perinatal outcomes in women with a concomitant diagnosis of asthma and GDM, compared to women who have neither or only one diagnosis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770CF7" w14:textId="77777777" w:rsidR="001564A4" w:rsidRPr="00C8518D" w:rsidRDefault="001564A4" w:rsidP="0052704E">
            <w:pPr>
              <w:rPr>
                <w:rStyle w:val="A4"/>
                <w:rFonts w:ascii="Arial" w:hAnsi="Arial" w:cs="Arial"/>
                <w:bCs/>
              </w:rPr>
            </w:pPr>
          </w:p>
          <w:p w14:paraId="1B39336E" w14:textId="6A8E2A4B" w:rsidR="001564A4" w:rsidRPr="00C8518D" w:rsidRDefault="001564A4" w:rsidP="0052704E">
            <w:pPr>
              <w:rPr>
                <w:rStyle w:val="A4"/>
                <w:rFonts w:ascii="Arial" w:hAnsi="Arial" w:cs="Arial"/>
                <w:b/>
                <w:bCs/>
              </w:rPr>
            </w:pPr>
            <w:r w:rsidRPr="00C8518D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="004661F5" w:rsidRPr="00C8518D">
              <w:rPr>
                <w:rStyle w:val="A4"/>
                <w:rFonts w:ascii="Arial" w:hAnsi="Arial" w:cs="Arial"/>
              </w:rPr>
              <w:t>Using a large-scale retrospective observational</w:t>
            </w:r>
            <w:r w:rsidR="004661F5" w:rsidRPr="00C8518D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4661F5" w:rsidRPr="00C8518D">
              <w:rPr>
                <w:rStyle w:val="A4"/>
                <w:rFonts w:ascii="Arial" w:hAnsi="Arial" w:cs="Arial"/>
              </w:rPr>
              <w:t xml:space="preserve">study design, data on </w:t>
            </w:r>
            <w:r w:rsidR="00B07F3B" w:rsidRPr="00C8518D">
              <w:rPr>
                <w:rStyle w:val="A4"/>
                <w:rFonts w:ascii="Arial" w:hAnsi="Arial" w:cs="Arial"/>
              </w:rPr>
              <w:t>clinical</w:t>
            </w:r>
            <w:r w:rsidR="004661F5" w:rsidRPr="00C8518D">
              <w:rPr>
                <w:rStyle w:val="A4"/>
                <w:rFonts w:ascii="Arial" w:hAnsi="Arial" w:cs="Arial"/>
              </w:rPr>
              <w:t xml:space="preserve"> characteristics, maternal and perinatal outcomes were collected </w:t>
            </w:r>
            <w:r w:rsidR="002D23EC">
              <w:rPr>
                <w:rStyle w:val="A4"/>
                <w:rFonts w:ascii="Arial" w:hAnsi="Arial" w:cs="Arial"/>
              </w:rPr>
              <w:t>via</w:t>
            </w:r>
            <w:r w:rsidR="004661F5" w:rsidRPr="00C8518D">
              <w:rPr>
                <w:rStyle w:val="A4"/>
                <w:rFonts w:ascii="Arial" w:hAnsi="Arial" w:cs="Arial"/>
              </w:rPr>
              <w:t xml:space="preserve"> electronic obstetric records </w:t>
            </w:r>
            <w:r w:rsidR="001B4C8E" w:rsidRPr="00C8518D">
              <w:rPr>
                <w:rStyle w:val="A4"/>
                <w:rFonts w:ascii="Arial" w:hAnsi="Arial" w:cs="Arial"/>
              </w:rPr>
              <w:t xml:space="preserve">from </w:t>
            </w:r>
            <w:r w:rsidR="001B4C8E" w:rsidRPr="00C8518D">
              <w:rPr>
                <w:rFonts w:ascii="Arial" w:hAnsi="Arial" w:cs="Arial"/>
                <w:sz w:val="22"/>
                <w:szCs w:val="22"/>
              </w:rPr>
              <w:t>antenatal clinics across two local health districts in New South Wales, Australia</w:t>
            </w:r>
            <w:r w:rsidR="00F01DBC" w:rsidRPr="00C8518D">
              <w:rPr>
                <w:rStyle w:val="A4"/>
                <w:rFonts w:ascii="Arial" w:hAnsi="Arial" w:cs="Arial"/>
              </w:rPr>
              <w:t>. Exposure variables</w:t>
            </w:r>
            <w:r w:rsidR="004661F5" w:rsidRPr="00C8518D">
              <w:rPr>
                <w:rStyle w:val="A4"/>
                <w:rFonts w:ascii="Arial" w:hAnsi="Arial" w:cs="Arial"/>
              </w:rPr>
              <w:t xml:space="preserve"> </w:t>
            </w:r>
            <w:r w:rsidR="00F01DBC" w:rsidRPr="00C8518D">
              <w:rPr>
                <w:rStyle w:val="A4"/>
                <w:rFonts w:ascii="Arial" w:hAnsi="Arial" w:cs="Arial"/>
              </w:rPr>
              <w:t xml:space="preserve">were 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diagnos</w:t>
            </w:r>
            <w:r w:rsidR="00F01DBC" w:rsidRPr="00C8518D">
              <w:rPr>
                <w:rFonts w:ascii="Arial" w:hAnsi="Arial" w:cs="Arial"/>
                <w:sz w:val="22"/>
                <w:szCs w:val="22"/>
              </w:rPr>
              <w:t>ed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asthma or GDM. Main outcome measures were diagnosis of hypertensive disorders in pregnancy, caesarean birth, preterm birth, low birth weight, macrosomia, respiratory distress</w:t>
            </w:r>
            <w:r w:rsidR="00A576C9" w:rsidRPr="00C8518D">
              <w:rPr>
                <w:rFonts w:ascii="Arial" w:hAnsi="Arial" w:cs="Arial"/>
                <w:sz w:val="22"/>
                <w:szCs w:val="22"/>
              </w:rPr>
              <w:t xml:space="preserve"> syndrome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, congenital </w:t>
            </w:r>
            <w:proofErr w:type="gramStart"/>
            <w:r w:rsidR="002656B4" w:rsidRPr="00C8518D">
              <w:rPr>
                <w:rFonts w:ascii="Arial" w:hAnsi="Arial" w:cs="Arial"/>
                <w:sz w:val="22"/>
                <w:szCs w:val="22"/>
              </w:rPr>
              <w:t>anomaly</w:t>
            </w:r>
            <w:proofErr w:type="gramEnd"/>
            <w:r w:rsidR="002656B4" w:rsidRPr="00C851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and neonatal death</w:t>
            </w:r>
            <w:r w:rsidR="0052704E" w:rsidRPr="00C8518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Multivariable </w:t>
            </w:r>
            <w:r w:rsidR="00E34A28" w:rsidRPr="00C8518D">
              <w:rPr>
                <w:rFonts w:ascii="Arial" w:hAnsi="Arial" w:cs="Arial"/>
                <w:sz w:val="22"/>
                <w:szCs w:val="22"/>
              </w:rPr>
              <w:t>regressions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were used.</w:t>
            </w:r>
          </w:p>
          <w:p w14:paraId="5029BAE6" w14:textId="2E0DD034" w:rsidR="001564A4" w:rsidRPr="00C8518D" w:rsidRDefault="001564A4" w:rsidP="0052704E">
            <w:pPr>
              <w:rPr>
                <w:rStyle w:val="A4"/>
                <w:rFonts w:ascii="Arial" w:hAnsi="Arial" w:cs="Arial"/>
                <w:color w:val="auto"/>
              </w:rPr>
            </w:pPr>
          </w:p>
          <w:p w14:paraId="42D2D1E5" w14:textId="3FFC6067" w:rsidR="004661F5" w:rsidRPr="00C8518D" w:rsidRDefault="001564A4" w:rsidP="0052704E">
            <w:pPr>
              <w:rPr>
                <w:rFonts w:ascii="Arial" w:hAnsi="Arial" w:cs="Arial"/>
                <w:sz w:val="22"/>
                <w:szCs w:val="22"/>
              </w:rPr>
            </w:pPr>
            <w:r w:rsidRPr="00C8518D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864B3A" w:rsidRPr="00C8518D">
              <w:rPr>
                <w:rFonts w:ascii="Arial" w:hAnsi="Arial" w:cs="Arial"/>
                <w:sz w:val="22"/>
                <w:szCs w:val="22"/>
              </w:rPr>
              <w:t>I</w:t>
            </w:r>
            <w:r w:rsidR="00B47C21" w:rsidRPr="00C8518D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B47C21" w:rsidRPr="00C8518D">
              <w:rPr>
                <w:rFonts w:ascii="Arial" w:eastAsia="CMR12" w:hAnsi="Arial" w:cs="Arial"/>
                <w:sz w:val="22"/>
                <w:szCs w:val="22"/>
              </w:rPr>
              <w:t>25</w:t>
            </w:r>
            <w:r w:rsidR="009A349A" w:rsidRPr="00C8518D">
              <w:rPr>
                <w:rFonts w:ascii="Arial" w:eastAsia="CMR12" w:hAnsi="Arial" w:cs="Arial"/>
                <w:sz w:val="22"/>
                <w:szCs w:val="22"/>
              </w:rPr>
              <w:t>,</w:t>
            </w:r>
            <w:r w:rsidR="00B47C21" w:rsidRPr="00C8518D">
              <w:rPr>
                <w:rFonts w:ascii="Arial" w:eastAsia="CMR12" w:hAnsi="Arial" w:cs="Arial"/>
                <w:sz w:val="22"/>
                <w:szCs w:val="22"/>
              </w:rPr>
              <w:t>665</w:t>
            </w:r>
            <w:r w:rsidR="00864B3A" w:rsidRPr="00C8518D">
              <w:rPr>
                <w:rFonts w:ascii="Arial" w:eastAsia="CMR12" w:hAnsi="Arial" w:cs="Arial"/>
                <w:sz w:val="22"/>
                <w:szCs w:val="22"/>
              </w:rPr>
              <w:t xml:space="preserve"> women,</w:t>
            </w:r>
            <w:r w:rsidR="00C8518D" w:rsidRPr="00C8518D">
              <w:rPr>
                <w:rFonts w:ascii="Arial" w:eastAsia="CMR12" w:hAnsi="Arial" w:cs="Arial"/>
                <w:sz w:val="22"/>
                <w:szCs w:val="22"/>
              </w:rPr>
              <w:t xml:space="preserve"> 11.3% of women had GDM only, 9.8% had asthma only and 1.4% had GDM and asthma.</w:t>
            </w:r>
            <w:r w:rsidR="00B47C21" w:rsidRPr="00C8518D">
              <w:rPr>
                <w:rFonts w:ascii="Arial" w:eastAsia="CMR12" w:hAnsi="Arial" w:cs="Arial"/>
                <w:sz w:val="22"/>
                <w:szCs w:val="22"/>
              </w:rPr>
              <w:t xml:space="preserve"> </w:t>
            </w:r>
            <w:r w:rsidR="00445FE3" w:rsidRPr="00C8518D">
              <w:rPr>
                <w:rFonts w:ascii="Arial" w:hAnsi="Arial" w:cs="Arial"/>
                <w:sz w:val="22"/>
                <w:szCs w:val="22"/>
              </w:rPr>
              <w:t>C</w:t>
            </w:r>
            <w:r w:rsidR="00371151" w:rsidRPr="00C8518D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maternal asthma</w:t>
            </w:r>
            <w:r w:rsidR="00310B75" w:rsidRPr="00C8518D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9A349A" w:rsidRPr="00C8518D">
              <w:rPr>
                <w:rFonts w:ascii="Arial" w:hAnsi="Arial" w:cs="Arial"/>
                <w:sz w:val="22"/>
                <w:szCs w:val="22"/>
              </w:rPr>
              <w:t>ersu</w:t>
            </w:r>
            <w:r w:rsidR="00310B75" w:rsidRPr="00C8518D">
              <w:rPr>
                <w:rFonts w:ascii="Arial" w:hAnsi="Arial" w:cs="Arial"/>
                <w:sz w:val="22"/>
                <w:szCs w:val="22"/>
              </w:rPr>
              <w:t>s no maternal asthma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1DBC" w:rsidRPr="00C8518D">
              <w:rPr>
                <w:rFonts w:ascii="Arial" w:hAnsi="Arial" w:cs="Arial"/>
                <w:sz w:val="22"/>
                <w:szCs w:val="22"/>
              </w:rPr>
              <w:t xml:space="preserve">was associated with 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increase</w:t>
            </w:r>
            <w:r w:rsidR="00371151" w:rsidRPr="00C8518D">
              <w:rPr>
                <w:rFonts w:ascii="Arial" w:hAnsi="Arial" w:cs="Arial"/>
                <w:sz w:val="22"/>
                <w:szCs w:val="22"/>
              </w:rPr>
              <w:t>d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risk</w:t>
            </w:r>
            <w:r w:rsidR="00C711BB" w:rsidRPr="00C851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371151" w:rsidRPr="00C8518D">
              <w:rPr>
                <w:rFonts w:ascii="Arial" w:hAnsi="Arial" w:cs="Arial"/>
                <w:sz w:val="22"/>
                <w:szCs w:val="22"/>
              </w:rPr>
              <w:t xml:space="preserve">infant 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respiratory distress </w:t>
            </w:r>
            <w:r w:rsidR="00082C5F" w:rsidRPr="00C8518D">
              <w:rPr>
                <w:rFonts w:ascii="Arial" w:hAnsi="Arial" w:cs="Arial"/>
                <w:sz w:val="22"/>
                <w:szCs w:val="22"/>
              </w:rPr>
              <w:t xml:space="preserve">syndrome </w:t>
            </w:r>
            <w:r w:rsidR="00310B75" w:rsidRPr="00C8518D">
              <w:rPr>
                <w:rFonts w:ascii="Arial" w:hAnsi="Arial" w:cs="Arial"/>
                <w:sz w:val="22"/>
                <w:szCs w:val="22"/>
              </w:rPr>
              <w:t>(aRR 1.12,95%CI 1.01, 1.25)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and GDM</w:t>
            </w:r>
            <w:r w:rsidR="00310B75" w:rsidRPr="00C8518D">
              <w:rPr>
                <w:rFonts w:ascii="Arial" w:hAnsi="Arial" w:cs="Arial"/>
                <w:sz w:val="22"/>
                <w:szCs w:val="22"/>
              </w:rPr>
              <w:t xml:space="preserve"> vs no GDM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1DBC" w:rsidRPr="00C8518D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increase</w:t>
            </w:r>
            <w:r w:rsidR="00371151" w:rsidRPr="00C8518D">
              <w:rPr>
                <w:rFonts w:ascii="Arial" w:hAnsi="Arial" w:cs="Arial"/>
                <w:sz w:val="22"/>
                <w:szCs w:val="22"/>
              </w:rPr>
              <w:t>d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risk of maternal hypertensive disorders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 xml:space="preserve"> (aRR 1.</w:t>
            </w:r>
            <w:r w:rsidR="008F730A" w:rsidRPr="00C8518D">
              <w:rPr>
                <w:rFonts w:ascii="Arial" w:hAnsi="Arial" w:cs="Arial"/>
                <w:sz w:val="22"/>
                <w:szCs w:val="22"/>
              </w:rPr>
              <w:t>32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, 95%CI 1.1</w:t>
            </w:r>
            <w:r w:rsidR="008F730A" w:rsidRPr="00C8518D">
              <w:rPr>
                <w:rFonts w:ascii="Arial" w:hAnsi="Arial" w:cs="Arial"/>
                <w:sz w:val="22"/>
                <w:szCs w:val="22"/>
              </w:rPr>
              <w:t>6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, 1.</w:t>
            </w:r>
            <w:r w:rsidR="008F730A" w:rsidRPr="00C8518D">
              <w:rPr>
                <w:rFonts w:ascii="Arial" w:hAnsi="Arial" w:cs="Arial"/>
                <w:sz w:val="22"/>
                <w:szCs w:val="22"/>
              </w:rPr>
              <w:t>5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0)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, caesarean birth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 xml:space="preserve"> (aRR 1.</w:t>
            </w:r>
            <w:r w:rsidR="008F730A" w:rsidRPr="00C8518D">
              <w:rPr>
                <w:rFonts w:ascii="Arial" w:hAnsi="Arial" w:cs="Arial"/>
                <w:sz w:val="22"/>
                <w:szCs w:val="22"/>
              </w:rPr>
              <w:t>18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,95%CI 1.1</w:t>
            </w:r>
            <w:r w:rsidR="008F730A" w:rsidRPr="00C8518D">
              <w:rPr>
                <w:rFonts w:ascii="Arial" w:hAnsi="Arial" w:cs="Arial"/>
                <w:sz w:val="22"/>
                <w:szCs w:val="22"/>
              </w:rPr>
              <w:t>2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, 1.</w:t>
            </w:r>
            <w:r w:rsidR="008F730A" w:rsidRPr="00C8518D">
              <w:rPr>
                <w:rFonts w:ascii="Arial" w:hAnsi="Arial" w:cs="Arial"/>
                <w:sz w:val="22"/>
                <w:szCs w:val="22"/>
              </w:rPr>
              <w:t>24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)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371151" w:rsidRPr="00C8518D">
              <w:rPr>
                <w:rFonts w:ascii="Arial" w:hAnsi="Arial" w:cs="Arial"/>
                <w:sz w:val="22"/>
                <w:szCs w:val="22"/>
              </w:rPr>
              <w:t xml:space="preserve"> infant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 xml:space="preserve"> respiratory distress </w:t>
            </w:r>
            <w:r w:rsidR="00686CFC" w:rsidRPr="00C8518D">
              <w:rPr>
                <w:rFonts w:ascii="Arial" w:hAnsi="Arial" w:cs="Arial"/>
                <w:sz w:val="22"/>
                <w:szCs w:val="22"/>
              </w:rPr>
              <w:t xml:space="preserve">syndrome </w:t>
            </w:r>
            <w:r w:rsidR="00310B75" w:rsidRPr="00C8518D">
              <w:rPr>
                <w:rFonts w:ascii="Arial" w:hAnsi="Arial" w:cs="Arial"/>
                <w:sz w:val="22"/>
                <w:szCs w:val="22"/>
              </w:rPr>
              <w:t>(aRR 1.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26</w:t>
            </w:r>
            <w:r w:rsidR="00310B75" w:rsidRPr="00C8518D">
              <w:rPr>
                <w:rFonts w:ascii="Arial" w:hAnsi="Arial" w:cs="Arial"/>
                <w:sz w:val="22"/>
                <w:szCs w:val="22"/>
              </w:rPr>
              <w:t>, 95%CI 1.1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4</w:t>
            </w:r>
            <w:r w:rsidR="00310B75" w:rsidRPr="00C8518D">
              <w:rPr>
                <w:rFonts w:ascii="Arial" w:hAnsi="Arial" w:cs="Arial"/>
                <w:sz w:val="22"/>
                <w:szCs w:val="22"/>
              </w:rPr>
              <w:t>, 1.</w:t>
            </w:r>
            <w:r w:rsidR="008D3166" w:rsidRPr="00C8518D">
              <w:rPr>
                <w:rFonts w:ascii="Arial" w:hAnsi="Arial" w:cs="Arial"/>
                <w:sz w:val="22"/>
                <w:szCs w:val="22"/>
              </w:rPr>
              <w:t>40)</w:t>
            </w:r>
            <w:r w:rsidR="004661F5" w:rsidRPr="00C8518D">
              <w:rPr>
                <w:rFonts w:ascii="Arial" w:hAnsi="Arial" w:cs="Arial"/>
                <w:sz w:val="22"/>
                <w:szCs w:val="22"/>
              </w:rPr>
              <w:t>.</w:t>
            </w:r>
            <w:r w:rsidR="00931CB9">
              <w:rPr>
                <w:rFonts w:ascii="Arial" w:eastAsia="CMR12" w:hAnsi="Arial" w:cs="Arial"/>
                <w:sz w:val="22"/>
                <w:szCs w:val="22"/>
              </w:rPr>
              <w:t xml:space="preserve"> T</w:t>
            </w:r>
            <w:r w:rsidR="00931CB9" w:rsidRPr="00C8518D">
              <w:rPr>
                <w:rFonts w:ascii="Arial" w:eastAsia="CMR12" w:hAnsi="Arial" w:cs="Arial"/>
                <w:sz w:val="22"/>
                <w:szCs w:val="22"/>
              </w:rPr>
              <w:t>here was no evidence for</w:t>
            </w:r>
            <w:r w:rsidR="00931CB9">
              <w:rPr>
                <w:rFonts w:ascii="Arial" w:eastAsia="CMR12" w:hAnsi="Arial" w:cs="Arial"/>
                <w:sz w:val="22"/>
                <w:szCs w:val="22"/>
              </w:rPr>
              <w:t xml:space="preserve"> an</w:t>
            </w:r>
            <w:r w:rsidR="00931CB9" w:rsidRPr="00C8518D">
              <w:rPr>
                <w:rFonts w:ascii="Arial" w:eastAsia="CMR12" w:hAnsi="Arial" w:cs="Arial"/>
                <w:sz w:val="22"/>
                <w:szCs w:val="22"/>
              </w:rPr>
              <w:t xml:space="preserve"> interaction between the effects of asthma and gestational diabetes on any perinatal outcomes.</w:t>
            </w:r>
          </w:p>
          <w:p w14:paraId="68537800" w14:textId="0A2CE0DB" w:rsidR="001564A4" w:rsidRPr="00C8518D" w:rsidRDefault="001564A4" w:rsidP="0052704E">
            <w:pPr>
              <w:rPr>
                <w:rStyle w:val="A4"/>
                <w:rFonts w:ascii="Arial" w:hAnsi="Arial" w:cs="Arial"/>
                <w:color w:val="auto"/>
              </w:rPr>
            </w:pPr>
          </w:p>
          <w:p w14:paraId="259D6114" w14:textId="1E4C76A4" w:rsidR="001B4C8E" w:rsidRPr="00C8518D" w:rsidRDefault="001564A4" w:rsidP="0052704E">
            <w:pPr>
              <w:rPr>
                <w:rFonts w:ascii="Arial" w:hAnsi="Arial" w:cs="Arial"/>
                <w:sz w:val="22"/>
                <w:szCs w:val="22"/>
              </w:rPr>
            </w:pPr>
            <w:r w:rsidRPr="00C8518D">
              <w:rPr>
                <w:rStyle w:val="A4"/>
                <w:rFonts w:ascii="Arial" w:hAnsi="Arial" w:cs="Arial"/>
                <w:b/>
                <w:bCs/>
              </w:rPr>
              <w:t>Conclusion:</w:t>
            </w:r>
            <w:r w:rsidR="001B4C8E" w:rsidRPr="00C8518D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1B4C8E" w:rsidRPr="00C8518D">
              <w:rPr>
                <w:rFonts w:ascii="Arial" w:hAnsi="Arial" w:cs="Arial"/>
                <w:sz w:val="22"/>
                <w:szCs w:val="22"/>
              </w:rPr>
              <w:t xml:space="preserve">A diagnosis of either maternal asthma or GDM increased the risk of infant respiratory distress. A diagnosis of GDM also increased the risk of maternal hypertensive disorders and caesarean birth. </w:t>
            </w:r>
            <w:r w:rsidR="00E106E5">
              <w:rPr>
                <w:rFonts w:ascii="Arial" w:hAnsi="Arial" w:cs="Arial"/>
                <w:sz w:val="22"/>
                <w:szCs w:val="22"/>
              </w:rPr>
              <w:t>Our</w:t>
            </w:r>
            <w:r w:rsidR="001B4C8E" w:rsidRPr="00C8518D">
              <w:rPr>
                <w:rFonts w:ascii="Arial" w:hAnsi="Arial" w:cs="Arial"/>
                <w:sz w:val="22"/>
                <w:szCs w:val="22"/>
              </w:rPr>
              <w:t xml:space="preserve"> results did not reveal a</w:t>
            </w:r>
            <w:r w:rsidR="00F5480D">
              <w:rPr>
                <w:rFonts w:ascii="Arial" w:hAnsi="Arial" w:cs="Arial"/>
                <w:sz w:val="22"/>
                <w:szCs w:val="22"/>
              </w:rPr>
              <w:t xml:space="preserve"> synergistic</w:t>
            </w:r>
            <w:r w:rsidR="001B4C8E" w:rsidRPr="00C8518D">
              <w:rPr>
                <w:rFonts w:ascii="Arial" w:hAnsi="Arial" w:cs="Arial"/>
                <w:sz w:val="22"/>
                <w:szCs w:val="22"/>
              </w:rPr>
              <w:t xml:space="preserve"> effect of a dual diagnosis of asthma and GDM on perinatal outcomes. Examination of asthma severity,</w:t>
            </w:r>
            <w:r w:rsidR="006B7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C8E" w:rsidRPr="00C8518D">
              <w:rPr>
                <w:rFonts w:ascii="Arial" w:hAnsi="Arial" w:cs="Arial"/>
                <w:sz w:val="22"/>
                <w:szCs w:val="22"/>
              </w:rPr>
              <w:t xml:space="preserve">control, medication </w:t>
            </w:r>
            <w:proofErr w:type="gramStart"/>
            <w:r w:rsidR="001B4C8E" w:rsidRPr="00C8518D">
              <w:rPr>
                <w:rFonts w:ascii="Arial" w:hAnsi="Arial" w:cs="Arial"/>
                <w:sz w:val="22"/>
                <w:szCs w:val="22"/>
              </w:rPr>
              <w:t>use</w:t>
            </w:r>
            <w:proofErr w:type="gramEnd"/>
            <w:r w:rsidR="001B4C8E" w:rsidRPr="00C8518D">
              <w:rPr>
                <w:rFonts w:ascii="Arial" w:hAnsi="Arial" w:cs="Arial"/>
                <w:sz w:val="22"/>
                <w:szCs w:val="22"/>
              </w:rPr>
              <w:t xml:space="preserve"> and adherence</w:t>
            </w:r>
            <w:r w:rsidR="001B4C8E" w:rsidRPr="00C8518D" w:rsidDel="006F39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C8E" w:rsidRPr="00C8518D">
              <w:rPr>
                <w:rFonts w:ascii="Arial" w:hAnsi="Arial" w:cs="Arial"/>
                <w:sz w:val="22"/>
                <w:szCs w:val="22"/>
              </w:rPr>
              <w:t>may provide further insights.</w:t>
            </w:r>
          </w:p>
          <w:p w14:paraId="196E7BAC" w14:textId="236413B1" w:rsidR="001564A4" w:rsidRPr="00C8518D" w:rsidRDefault="001564A4" w:rsidP="0052704E">
            <w:pPr>
              <w:rPr>
                <w:rStyle w:val="A4"/>
                <w:rFonts w:ascii="Arial" w:hAnsi="Arial" w:cs="Arial"/>
                <w:b/>
                <w:bCs/>
              </w:rPr>
            </w:pPr>
            <w:r w:rsidRPr="00C8518D">
              <w:rPr>
                <w:rStyle w:val="A4"/>
                <w:rFonts w:ascii="Arial" w:hAnsi="Arial" w:cs="Arial"/>
                <w:bCs/>
              </w:rPr>
              <w:br/>
            </w:r>
          </w:p>
          <w:p w14:paraId="34BF0A0F" w14:textId="25205214" w:rsidR="001564A4" w:rsidRPr="00820A4E" w:rsidRDefault="001564A4" w:rsidP="00820A4E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C8518D">
              <w:rPr>
                <w:rStyle w:val="A4"/>
                <w:b/>
                <w:bCs/>
              </w:rPr>
              <w:t xml:space="preserve">Grant Support: </w:t>
            </w:r>
            <w:r w:rsidR="00F400F9" w:rsidRPr="00C8518D">
              <w:rPr>
                <w:sz w:val="22"/>
                <w:szCs w:val="22"/>
              </w:rPr>
              <w:t>School of Medicine and Public Health, College of Health Medicine and Wellbeing University of Newcastle</w:t>
            </w:r>
            <w:r>
              <w:rPr>
                <w:sz w:val="22"/>
                <w:szCs w:val="22"/>
              </w:rPr>
              <w:br/>
            </w:r>
          </w:p>
          <w:p w14:paraId="1FF1A88F" w14:textId="63F99E4F" w:rsidR="001564A4" w:rsidRPr="0050053A" w:rsidRDefault="001564A4" w:rsidP="0052704E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52704E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52704E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R1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6453"/>
    <w:rsid w:val="00082C5F"/>
    <w:rsid w:val="000D0942"/>
    <w:rsid w:val="00137F13"/>
    <w:rsid w:val="001408BE"/>
    <w:rsid w:val="001564A4"/>
    <w:rsid w:val="00156FD1"/>
    <w:rsid w:val="001B4C8E"/>
    <w:rsid w:val="001F1E79"/>
    <w:rsid w:val="002007C3"/>
    <w:rsid w:val="0023633C"/>
    <w:rsid w:val="00241453"/>
    <w:rsid w:val="002656B4"/>
    <w:rsid w:val="00276922"/>
    <w:rsid w:val="002D23EC"/>
    <w:rsid w:val="002D6AFE"/>
    <w:rsid w:val="002D7201"/>
    <w:rsid w:val="002E6C23"/>
    <w:rsid w:val="00310B75"/>
    <w:rsid w:val="00326F1E"/>
    <w:rsid w:val="00354841"/>
    <w:rsid w:val="00355019"/>
    <w:rsid w:val="00371151"/>
    <w:rsid w:val="00371691"/>
    <w:rsid w:val="003B6656"/>
    <w:rsid w:val="00445FE3"/>
    <w:rsid w:val="004661F5"/>
    <w:rsid w:val="00492500"/>
    <w:rsid w:val="004B5322"/>
    <w:rsid w:val="0051574E"/>
    <w:rsid w:val="0052704E"/>
    <w:rsid w:val="005A77C4"/>
    <w:rsid w:val="00600198"/>
    <w:rsid w:val="0061316C"/>
    <w:rsid w:val="00621679"/>
    <w:rsid w:val="006242D8"/>
    <w:rsid w:val="00670FAC"/>
    <w:rsid w:val="00686CFC"/>
    <w:rsid w:val="006B7C3C"/>
    <w:rsid w:val="006D6F20"/>
    <w:rsid w:val="006F3948"/>
    <w:rsid w:val="00704BB6"/>
    <w:rsid w:val="007170EC"/>
    <w:rsid w:val="00717DD0"/>
    <w:rsid w:val="007E66A6"/>
    <w:rsid w:val="007F207E"/>
    <w:rsid w:val="007F4059"/>
    <w:rsid w:val="00820A4E"/>
    <w:rsid w:val="008236A5"/>
    <w:rsid w:val="008629E1"/>
    <w:rsid w:val="00864B3A"/>
    <w:rsid w:val="008803FA"/>
    <w:rsid w:val="008D3166"/>
    <w:rsid w:val="008F730A"/>
    <w:rsid w:val="00931CB9"/>
    <w:rsid w:val="00941B9D"/>
    <w:rsid w:val="00946250"/>
    <w:rsid w:val="009A349A"/>
    <w:rsid w:val="009D34FF"/>
    <w:rsid w:val="00A269E7"/>
    <w:rsid w:val="00A4284C"/>
    <w:rsid w:val="00A576C9"/>
    <w:rsid w:val="00AB6D92"/>
    <w:rsid w:val="00B07F3B"/>
    <w:rsid w:val="00B12E32"/>
    <w:rsid w:val="00B47C21"/>
    <w:rsid w:val="00BB5323"/>
    <w:rsid w:val="00C6431F"/>
    <w:rsid w:val="00C711BB"/>
    <w:rsid w:val="00C8518D"/>
    <w:rsid w:val="00C85C35"/>
    <w:rsid w:val="00CB311A"/>
    <w:rsid w:val="00D521B3"/>
    <w:rsid w:val="00D77282"/>
    <w:rsid w:val="00D822EB"/>
    <w:rsid w:val="00DD3BA3"/>
    <w:rsid w:val="00DE58BA"/>
    <w:rsid w:val="00E0700F"/>
    <w:rsid w:val="00E106E5"/>
    <w:rsid w:val="00E34A28"/>
    <w:rsid w:val="00F01DBC"/>
    <w:rsid w:val="00F16977"/>
    <w:rsid w:val="00F21495"/>
    <w:rsid w:val="00F24523"/>
    <w:rsid w:val="00F400F9"/>
    <w:rsid w:val="00F5480D"/>
    <w:rsid w:val="00F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B6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656"/>
    <w:pPr>
      <w:spacing w:after="16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656"/>
    <w:rPr>
      <w:rFonts w:ascii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656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656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37115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45554-543D-468E-9C4E-F6F982EE2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3</cp:revision>
  <dcterms:created xsi:type="dcterms:W3CDTF">2023-10-20T23:35:00Z</dcterms:created>
  <dcterms:modified xsi:type="dcterms:W3CDTF">2023-10-20T23:37:00Z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