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12267D" w14:paraId="3CA33060" w14:textId="77777777" w:rsidTr="5F0A9EB2">
        <w:tc>
          <w:tcPr>
            <w:tcW w:w="8640" w:type="dxa"/>
            <w:shd w:val="clear" w:color="auto" w:fill="F2F2F2" w:themeFill="background1" w:themeFillShade="F2"/>
          </w:tcPr>
          <w:p w14:paraId="2003E176" w14:textId="1D22C099" w:rsidR="00C8423A" w:rsidRPr="0012267D" w:rsidRDefault="0012267D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226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Paper </w:t>
            </w:r>
          </w:p>
          <w:p w14:paraId="0D1C9E04" w14:textId="77777777" w:rsidR="00C8423A" w:rsidRDefault="000E4448" w:rsidP="4FC307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2267D">
              <w:rPr>
                <w:rFonts w:ascii="Arial" w:hAnsi="Arial" w:cs="Arial"/>
                <w:b/>
                <w:sz w:val="22"/>
                <w:szCs w:val="22"/>
                <w:lang w:val="en-US"/>
              </w:rPr>
              <w:t>Arts-based methods for just co-creation of nature-based solutions: collaging plural</w:t>
            </w:r>
            <w:r w:rsidR="3FDD434C" w:rsidRPr="0012267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coastal</w:t>
            </w:r>
            <w:r w:rsidR="5EE47568" w:rsidRPr="0012267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2267D">
              <w:rPr>
                <w:rFonts w:ascii="Arial" w:hAnsi="Arial" w:cs="Arial"/>
                <w:b/>
                <w:sz w:val="22"/>
                <w:szCs w:val="22"/>
                <w:lang w:val="en-US"/>
              </w:rPr>
              <w:t>futures</w:t>
            </w:r>
          </w:p>
          <w:p w14:paraId="3F7D1534" w14:textId="35B17FAE" w:rsidR="0012267D" w:rsidRPr="0012267D" w:rsidRDefault="0012267D" w:rsidP="4FC307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8423A" w:rsidRPr="0003525D" w14:paraId="1A1C8C63" w14:textId="77777777" w:rsidTr="5F0A9EB2">
        <w:trPr>
          <w:trHeight w:val="3124"/>
        </w:trPr>
        <w:tc>
          <w:tcPr>
            <w:tcW w:w="8640" w:type="dxa"/>
          </w:tcPr>
          <w:p w14:paraId="36936453" w14:textId="77777777" w:rsidR="0012267D" w:rsidRDefault="0012267D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1DE6B3FB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1FE8754D" w14:textId="57354351" w:rsidR="000E4448" w:rsidRPr="000E4448" w:rsidRDefault="00602A9A" w:rsidP="05CCFD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Nature-based solutions (</w:t>
            </w:r>
            <w:proofErr w:type="spellStart"/>
            <w:r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CFEFA3A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) are often framed as transformative adaptation due to their ability to deliver effective changes while providing co-benefits for people and nature. However, to be truly transformative, </w:t>
            </w:r>
            <w:proofErr w:type="spellStart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64D3B2D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planning and design must deliberately consider justice.</w:t>
            </w:r>
            <w:r w:rsidR="34FAD48C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Although </w:t>
            </w:r>
            <w:proofErr w:type="spellStart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520629DA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often promise to improve recreational value</w:t>
            </w:r>
            <w:r w:rsidR="1470C55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and wellbeing; projects rarely deliver these co-benefits to everyone. Rath</w:t>
            </w:r>
            <w:r w:rsidR="00FD578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er, </w:t>
            </w:r>
            <w:proofErr w:type="spellStart"/>
            <w:r w:rsidR="00FD578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Nb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can become catalysts of ‘green’ or ‘climate</w:t>
            </w:r>
            <w:r w:rsidR="29D8E699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’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gentrification, and</w:t>
            </w:r>
            <w:proofErr w:type="gram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promot</w:t>
            </w:r>
            <w:r w:rsidR="54C21C60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selective sustainability values that serve already privileged populations while marginalizing vulnerable groups (</w:t>
            </w:r>
            <w:proofErr w:type="spellStart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Anguelovski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et al., 2019). Thus, there is an urgent need to center justice in </w:t>
            </w:r>
            <w:proofErr w:type="spellStart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257F6F5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planning and design. While we know that co-creation is essential for supporting just </w:t>
            </w:r>
            <w:proofErr w:type="spellStart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7A4C73E6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, traditional participatory planning methods are not adequately primed to support cons</w:t>
            </w:r>
            <w:r w:rsidR="234E5932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0E4448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derations of justice.</w:t>
            </w:r>
          </w:p>
          <w:p w14:paraId="5B351EB9" w14:textId="4EA7C3CB" w:rsidR="000E4448" w:rsidRDefault="000E4448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E4D093B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2169FD6" w14:textId="44761730" w:rsidR="000E4448" w:rsidRPr="00D57BCA" w:rsidRDefault="000E4448" w:rsidP="000E444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In light of</w:t>
            </w:r>
            <w:proofErr w:type="gramEnd"/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the failure of traditional participatory methods, it is critical to explore alternative methods for just co-creation. Within the sustainability space, the role of creativity and imagination has gained attention for catalyzing transformative change processes. Arts-based research methods are increasingly applied in co-creation processes in recognition of their ability to dis</w:t>
            </w:r>
            <w:r w:rsidRPr="00D57BCA">
              <w:rPr>
                <w:rStyle w:val="normaltextrun"/>
                <w:rFonts w:ascii="Arial" w:eastAsia="Arial Nova" w:hAnsi="Arial" w:cs="Arial"/>
                <w:sz w:val="22"/>
                <w:szCs w:val="22"/>
                <w:lang w:val="en-US"/>
              </w:rPr>
              <w:t>mantle silos, encourage transdisciplinary thinking, and foster imagination for radical innovation (</w:t>
            </w:r>
            <w:proofErr w:type="spellStart"/>
            <w:r w:rsidR="7F6AF73C" w:rsidRPr="00D57BCA">
              <w:rPr>
                <w:rFonts w:ascii="Arial" w:eastAsia="Arial Nova" w:hAnsi="Arial" w:cs="Arial"/>
                <w:sz w:val="22"/>
                <w:szCs w:val="22"/>
                <w:lang w:val="en-US"/>
              </w:rPr>
              <w:t>Galafassi</w:t>
            </w:r>
            <w:proofErr w:type="spellEnd"/>
            <w:r w:rsidR="7F6AF73C" w:rsidRPr="00D57BCA">
              <w:rPr>
                <w:rFonts w:ascii="Arial" w:eastAsia="Arial Nova" w:hAnsi="Arial" w:cs="Arial"/>
                <w:sz w:val="22"/>
                <w:szCs w:val="22"/>
                <w:lang w:val="en-US"/>
              </w:rPr>
              <w:t xml:space="preserve"> et al., 2018; Leavy, 2020; Seppälä et al., 2021</w:t>
            </w:r>
            <w:r w:rsidRPr="00D57BCA">
              <w:rPr>
                <w:rStyle w:val="normaltextrun"/>
                <w:rFonts w:ascii="Arial" w:eastAsia="Arial Nova" w:hAnsi="Arial" w:cs="Arial"/>
                <w:sz w:val="22"/>
                <w:szCs w:val="22"/>
                <w:lang w:val="en-US"/>
              </w:rPr>
              <w:t>). However, until now, the</w:t>
            </w:r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re has been little reflection on the potential for arts-based methods to support justice in co-creation processes. In this study, we explore the potential of arts-based future visioning workshops for supporting just co-creation in</w:t>
            </w:r>
            <w:r w:rsidR="0EA79085"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Køge</w:t>
            </w:r>
            <w:proofErr w:type="spellEnd"/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Bay Beach Park, a coastal </w:t>
            </w:r>
            <w:proofErr w:type="spellStart"/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NbS</w:t>
            </w:r>
            <w:proofErr w:type="spellEnd"/>
            <w:r w:rsidRPr="00D57BCA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project undergoing redevelopment in Denmark.</w:t>
            </w:r>
          </w:p>
          <w:p w14:paraId="7DF7D437" w14:textId="493D3BED" w:rsidR="0065012F" w:rsidRPr="00D57BC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63193188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4C182F83" w14:textId="466B4976" w:rsidR="4FC307F1" w:rsidRDefault="000E4448" w:rsidP="4FC307F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We </w:t>
            </w:r>
            <w:r w:rsidR="5AD1011B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will conduct </w:t>
            </w: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arts-based workshops using collective collage to co-create visions of desirable futures for </w:t>
            </w:r>
            <w:proofErr w:type="spellStart"/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>Køge</w:t>
            </w:r>
            <w:proofErr w:type="spellEnd"/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Bay Beach Park, a multifunctional </w:t>
            </w:r>
            <w:proofErr w:type="spellStart"/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727A15C3" w:rsidRPr="4FC307F1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proofErr w:type="spellEnd"/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 providing coastal protection and recreation. Workshops </w:t>
            </w:r>
            <w:r w:rsidR="506A94FC" w:rsidRPr="4FC307F1">
              <w:rPr>
                <w:rFonts w:ascii="Arial" w:hAnsi="Arial" w:cs="Arial"/>
                <w:sz w:val="22"/>
                <w:szCs w:val="22"/>
                <w:lang w:val="en-US"/>
              </w:rPr>
              <w:t>will be</w:t>
            </w: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conducted with groups who </w:t>
            </w:r>
            <w:r w:rsidR="275313CD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are </w:t>
            </w: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>under-represented in local planning: youth, elderly residents, and immigrants. We</w:t>
            </w:r>
            <w:r w:rsidR="5AEA5FBA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use</w:t>
            </w: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7BC53FD2" w:rsidRPr="4FC307F1">
              <w:rPr>
                <w:rFonts w:ascii="Arial" w:hAnsi="Arial" w:cs="Arial"/>
                <w:sz w:val="22"/>
                <w:szCs w:val="22"/>
                <w:lang w:val="en-US"/>
              </w:rPr>
              <w:t>collective</w:t>
            </w:r>
            <w:r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collage to encourage participants to reflect on their desires for the future </w:t>
            </w:r>
            <w:r w:rsidR="005E1E74" w:rsidRPr="4FC307F1">
              <w:rPr>
                <w:rFonts w:ascii="Arial" w:hAnsi="Arial" w:cs="Arial"/>
                <w:sz w:val="22"/>
                <w:szCs w:val="22"/>
                <w:lang w:val="en-US"/>
              </w:rPr>
              <w:t>through embodied play,</w:t>
            </w:r>
            <w:r w:rsidR="6194F25B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75F1477" w:rsidRPr="4FC307F1">
              <w:rPr>
                <w:rFonts w:ascii="Arial" w:hAnsi="Arial" w:cs="Arial"/>
                <w:sz w:val="22"/>
                <w:szCs w:val="22"/>
                <w:lang w:val="en-US"/>
              </w:rPr>
              <w:t>helping</w:t>
            </w:r>
            <w:r w:rsidR="005E1E74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participants access imagination that is often stifled during traditional participatory processes. </w:t>
            </w:r>
            <w:r w:rsidR="3CFE8DDD" w:rsidRPr="4FC307F1">
              <w:rPr>
                <w:rFonts w:ascii="Arial" w:hAnsi="Arial" w:cs="Arial"/>
                <w:sz w:val="22"/>
                <w:szCs w:val="22"/>
                <w:lang w:val="en-US"/>
              </w:rPr>
              <w:t>To ensure just practice, workshop design and facilitation center mutual trust, respect, and power-sharing.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Facilitators practice reflexivity</w:t>
            </w:r>
            <w:r w:rsidR="1787D97E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>acknowl</w:t>
            </w:r>
            <w:r w:rsidR="5B043B9B" w:rsidRPr="4FC307F1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>dg</w:t>
            </w:r>
            <w:r w:rsidR="0C6407A4" w:rsidRPr="4FC307F1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multiple w</w:t>
            </w:r>
            <w:r w:rsidR="456433A2" w:rsidRPr="4FC307F1">
              <w:rPr>
                <w:rFonts w:ascii="Arial" w:hAnsi="Arial" w:cs="Arial"/>
                <w:sz w:val="22"/>
                <w:szCs w:val="22"/>
                <w:lang w:val="en-US"/>
              </w:rPr>
              <w:t>ay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>s of knowing</w:t>
            </w:r>
            <w:r w:rsidR="7927A630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>ensur</w:t>
            </w:r>
            <w:r w:rsidR="0A2F9E8B" w:rsidRPr="4FC307F1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that all voices are heard. Workshops</w:t>
            </w:r>
            <w:r w:rsidR="66953714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also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 xml:space="preserve"> include an evaluation of justice dimen</w:t>
            </w:r>
            <w:r w:rsidR="28E564BE" w:rsidRPr="4FC307F1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6354A62E" w:rsidRPr="4FC307F1">
              <w:rPr>
                <w:rFonts w:ascii="Arial" w:hAnsi="Arial" w:cs="Arial"/>
                <w:sz w:val="22"/>
                <w:szCs w:val="22"/>
                <w:lang w:val="en-US"/>
              </w:rPr>
              <w:t>ions from the perspective of participants</w:t>
            </w:r>
            <w:r w:rsidR="3B4B18FF" w:rsidRPr="4FC307F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659B60E" w14:textId="11AC93A6" w:rsidR="4FC307F1" w:rsidRDefault="4FC307F1" w:rsidP="4FC307F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DAA8AE" w14:textId="6F12C138" w:rsidR="0065012F" w:rsidRDefault="0065012F" w:rsidP="05CCFD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C307F1">
              <w:rPr>
                <w:rFonts w:ascii="Arial" w:hAnsi="Arial" w:cs="Arial"/>
                <w:b/>
                <w:bCs/>
                <w:sz w:val="22"/>
                <w:szCs w:val="22"/>
              </w:rPr>
              <w:t>Findings</w:t>
            </w:r>
          </w:p>
          <w:p w14:paraId="16644024" w14:textId="0D02E535" w:rsidR="0065012F" w:rsidRDefault="000E4448" w:rsidP="4FC307F1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Findings </w:t>
            </w:r>
            <w:r w:rsidR="46A36EAB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are expected to </w:t>
            </w:r>
            <w:r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reveal how under-represented residents of </w:t>
            </w:r>
            <w:proofErr w:type="spellStart"/>
            <w:r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Køge</w:t>
            </w:r>
            <w:proofErr w:type="spellEnd"/>
            <w:r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Bay envision the future of their coastal communities</w:t>
            </w:r>
            <w:r w:rsidR="4539109D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, thus revealing values</w:t>
            </w:r>
            <w:r w:rsidR="28A504BB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and</w:t>
            </w:r>
            <w:r w:rsidR="4539109D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concerns often excluded from adaptation planning</w:t>
            </w:r>
            <w:r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.</w:t>
            </w:r>
            <w:r w:rsidR="188E1A8E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="63078D3C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Specifically</w:t>
            </w:r>
            <w:r w:rsidR="23C25B74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, findings assess how arts-based methods facilitate</w:t>
            </w:r>
            <w:r w:rsidR="315EB635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participatory imagination, thus</w:t>
            </w:r>
            <w:r w:rsidR="23C25B74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empowering marginalized voices to engage meaningfully </w:t>
            </w:r>
            <w:r w:rsidR="71C73D3D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in co-creation</w:t>
            </w:r>
            <w:r w:rsidR="23C25B74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processes. These insights shed light on the </w:t>
            </w:r>
            <w:r w:rsidR="23C25B74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lastRenderedPageBreak/>
              <w:t>effectiveness of arts-based practices for promoting justice</w:t>
            </w:r>
            <w:r w:rsidR="02751176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while</w:t>
            </w:r>
            <w:r w:rsidR="23C25B74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also offer</w:t>
            </w:r>
            <w:r w:rsidR="397F99F6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>ing</w:t>
            </w:r>
            <w:r w:rsidR="23C25B74" w:rsidRPr="4FC307F1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a critical examination of their limitations.</w:t>
            </w:r>
          </w:p>
          <w:p w14:paraId="26DC99F1" w14:textId="7392EB31" w:rsidR="0065012F" w:rsidRDefault="0065012F" w:rsidP="4FC307F1">
            <w:pPr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4FC307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Significance of the work for policy and practice </w:t>
            </w:r>
          </w:p>
          <w:p w14:paraId="5E0C6780" w14:textId="63E339FE" w:rsidR="00BE58D6" w:rsidRDefault="418CCFE4" w:rsidP="4FC307F1">
            <w:pP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This research provides</w:t>
            </w:r>
            <w:r w:rsidR="006E76F0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the first (to our knowledge) assessment of arts-based methods along justice indicators, starting a critical conversation on </w:t>
            </w:r>
            <w:r w:rsidR="3CCAED59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the place of creativity </w:t>
            </w:r>
            <w:r w:rsidR="1F7EE72C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in operationalizing</w:t>
            </w:r>
            <w:r w:rsidR="3CCAED59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just adaptation. Our </w:t>
            </w:r>
            <w:r w:rsidR="61E3C57D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work </w:t>
            </w:r>
            <w:r w:rsidR="3CCAED59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provide</w:t>
            </w:r>
            <w:r w:rsidR="2E349416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3CCAED59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evidence-based </w:t>
            </w:r>
            <w:r w:rsidR="531F805E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recommendations for </w:t>
            </w:r>
            <w:r w:rsidR="084A490A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applying arts-based methods in pursuit of just</w:t>
            </w:r>
            <w:r w:rsidR="73EE3DB0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ice</w:t>
            </w:r>
            <w:r w:rsidR="084A490A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. These insights can inform practice by providing a</w:t>
            </w:r>
            <w:r w:rsidR="41C54312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tested</w:t>
            </w:r>
            <w:r w:rsidR="084A490A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methodological approach for </w:t>
            </w:r>
            <w:r w:rsidR="7FE06305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engaging in justice-centered plural imagination </w:t>
            </w:r>
            <w:r w:rsidR="4BFA3363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processes</w:t>
            </w:r>
            <w:r w:rsidR="7FE06305" w:rsidRPr="4FC307F1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4D7B65A8" w14:textId="7DF6F09A" w:rsidR="00BE58D6" w:rsidRDefault="00BE58D6" w:rsidP="4FC307F1">
            <w:pP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14:paraId="2CBAECD6" w14:textId="729DADBB" w:rsidR="009F4EA0" w:rsidRPr="0012267D" w:rsidRDefault="009F4EA0" w:rsidP="001226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442F4E93" w:rsidR="009010B0" w:rsidRPr="00D57BCA" w:rsidRDefault="009010B0" w:rsidP="00247C60">
      <w:pPr>
        <w:rPr>
          <w:rFonts w:ascii="Arial" w:hAnsi="Arial" w:cs="Arial"/>
          <w:sz w:val="22"/>
          <w:szCs w:val="22"/>
        </w:rPr>
      </w:pPr>
    </w:p>
    <w:p w14:paraId="65E64720" w14:textId="398D68D1" w:rsidR="006E76F0" w:rsidRPr="00D57BCA" w:rsidRDefault="006E76F0" w:rsidP="00247C60">
      <w:pPr>
        <w:rPr>
          <w:rFonts w:ascii="Arial" w:hAnsi="Arial" w:cs="Arial"/>
          <w:b/>
          <w:sz w:val="22"/>
          <w:szCs w:val="22"/>
        </w:rPr>
      </w:pPr>
      <w:r w:rsidRPr="00D57BCA">
        <w:rPr>
          <w:rFonts w:ascii="Arial" w:hAnsi="Arial" w:cs="Arial"/>
          <w:b/>
          <w:sz w:val="22"/>
          <w:szCs w:val="22"/>
        </w:rPr>
        <w:t>References</w:t>
      </w:r>
    </w:p>
    <w:p w14:paraId="38188459" w14:textId="77777777" w:rsidR="00FD5788" w:rsidRPr="00D57BCA" w:rsidRDefault="00FD5788" w:rsidP="4FC307F1">
      <w:pPr>
        <w:rPr>
          <w:rFonts w:ascii="Arial" w:eastAsia="Arial Nova" w:hAnsi="Arial" w:cs="Arial"/>
          <w:sz w:val="22"/>
          <w:szCs w:val="22"/>
          <w:shd w:val="clear" w:color="auto" w:fill="FFFFFF"/>
          <w:lang w:val="da-DK"/>
        </w:rPr>
      </w:pPr>
      <w:r w:rsidRPr="00D57BCA">
        <w:rPr>
          <w:rFonts w:ascii="Arial" w:eastAsia="Arial Nova" w:hAnsi="Arial" w:cs="Arial"/>
          <w:sz w:val="22"/>
          <w:szCs w:val="22"/>
          <w:shd w:val="clear" w:color="auto" w:fill="FFFFFF"/>
          <w:lang w:val="en-US"/>
        </w:rPr>
        <w:t xml:space="preserve">Anguelovski, Connolly, J. J. T., Pearsall, H., Shokry, G., Checker, M., </w:t>
      </w:r>
      <w:proofErr w:type="spellStart"/>
      <w:r w:rsidRPr="00D57BCA">
        <w:rPr>
          <w:rFonts w:ascii="Arial" w:eastAsia="Arial Nova" w:hAnsi="Arial" w:cs="Arial"/>
          <w:sz w:val="22"/>
          <w:szCs w:val="22"/>
          <w:shd w:val="clear" w:color="auto" w:fill="FFFFFF"/>
          <w:lang w:val="en-US"/>
        </w:rPr>
        <w:t>Maantay</w:t>
      </w:r>
      <w:proofErr w:type="spellEnd"/>
      <w:r w:rsidRPr="00D57BCA">
        <w:rPr>
          <w:rFonts w:ascii="Arial" w:eastAsia="Arial Nova" w:hAnsi="Arial" w:cs="Arial"/>
          <w:sz w:val="22"/>
          <w:szCs w:val="22"/>
          <w:shd w:val="clear" w:color="auto" w:fill="FFFFFF"/>
          <w:lang w:val="en-US"/>
        </w:rPr>
        <w:t>, J., Gould, K., Lewis, T., Maroko, A., &amp; Roberts, J. T. (2019). Why green “climate gentrification” threatens poor and vulnerable populations. </w:t>
      </w:r>
      <w:r w:rsidRPr="00D57BCA">
        <w:rPr>
          <w:rFonts w:ascii="Arial" w:eastAsia="Arial Nova" w:hAnsi="Arial" w:cs="Arial"/>
          <w:i/>
          <w:iCs/>
          <w:sz w:val="22"/>
          <w:szCs w:val="22"/>
          <w:shd w:val="clear" w:color="auto" w:fill="FFFFFF"/>
          <w:lang w:val="en-US"/>
        </w:rPr>
        <w:t>Proceedings of the National Academy of Sciences - PNAS</w:t>
      </w:r>
      <w:r w:rsidRPr="00D57BCA">
        <w:rPr>
          <w:rFonts w:ascii="Arial" w:eastAsia="Arial Nova" w:hAnsi="Arial" w:cs="Arial"/>
          <w:sz w:val="22"/>
          <w:szCs w:val="22"/>
          <w:shd w:val="clear" w:color="auto" w:fill="FFFFFF"/>
          <w:lang w:val="en-US"/>
        </w:rPr>
        <w:t>, </w:t>
      </w:r>
      <w:r w:rsidRPr="00D57BCA">
        <w:rPr>
          <w:rFonts w:ascii="Arial" w:eastAsia="Arial Nova" w:hAnsi="Arial" w:cs="Arial"/>
          <w:i/>
          <w:iCs/>
          <w:sz w:val="22"/>
          <w:szCs w:val="22"/>
          <w:shd w:val="clear" w:color="auto" w:fill="FFFFFF"/>
          <w:lang w:val="en-US"/>
        </w:rPr>
        <w:t>116</w:t>
      </w:r>
      <w:r w:rsidRPr="00D57BCA">
        <w:rPr>
          <w:rFonts w:ascii="Arial" w:eastAsia="Arial Nova" w:hAnsi="Arial" w:cs="Arial"/>
          <w:sz w:val="22"/>
          <w:szCs w:val="22"/>
          <w:shd w:val="clear" w:color="auto" w:fill="FFFFFF"/>
          <w:lang w:val="en-US"/>
        </w:rPr>
        <w:t xml:space="preserve">(52), 26139–26143. </w:t>
      </w:r>
      <w:hyperlink r:id="rId8">
        <w:r w:rsidRPr="00D57BCA">
          <w:rPr>
            <w:rStyle w:val="Hyperlink"/>
            <w:rFonts w:ascii="Arial" w:eastAsia="Arial Nova" w:hAnsi="Arial" w:cs="Arial"/>
            <w:sz w:val="22"/>
            <w:szCs w:val="22"/>
            <w:lang w:val="da-DK"/>
          </w:rPr>
          <w:t>https://doi.org/10.1073/pnas.1920490117</w:t>
        </w:r>
      </w:hyperlink>
    </w:p>
    <w:p w14:paraId="36B71DCD" w14:textId="4ED7BDAB" w:rsidR="00FD5788" w:rsidRPr="00D57BCA" w:rsidRDefault="00FD5788" w:rsidP="4FC307F1">
      <w:pPr>
        <w:rPr>
          <w:rFonts w:ascii="Arial" w:eastAsia="Arial Nova" w:hAnsi="Arial" w:cs="Arial"/>
          <w:sz w:val="22"/>
          <w:szCs w:val="22"/>
          <w:lang w:val="da-DK"/>
        </w:rPr>
      </w:pPr>
    </w:p>
    <w:p w14:paraId="26CAA666" w14:textId="1757DE2E" w:rsidR="00FD5788" w:rsidRPr="00D57BCA" w:rsidRDefault="1E074D1E" w:rsidP="4FC307F1">
      <w:pPr>
        <w:rPr>
          <w:rFonts w:ascii="Arial" w:eastAsia="Arial Nova" w:hAnsi="Arial" w:cs="Arial"/>
          <w:sz w:val="22"/>
          <w:szCs w:val="22"/>
        </w:rPr>
      </w:pPr>
      <w:r w:rsidRPr="00D57BCA">
        <w:rPr>
          <w:rFonts w:ascii="Arial" w:eastAsia="Arial Nova" w:hAnsi="Arial" w:cs="Arial"/>
          <w:sz w:val="22"/>
          <w:szCs w:val="22"/>
          <w:lang w:val="da-DK"/>
        </w:rPr>
        <w:t xml:space="preserve">Galafassi, D., Tàbara, J. D., &amp; Heras, M. (2018). </w:t>
      </w:r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Restoring our senses, restoring the Earth. Fostering imaginative capacities through the arts for envisioning climate transformations. </w:t>
      </w:r>
      <w:r w:rsidRPr="00D57BCA">
        <w:rPr>
          <w:rFonts w:ascii="Arial" w:eastAsia="Arial Nova" w:hAnsi="Arial" w:cs="Arial"/>
          <w:i/>
          <w:iCs/>
          <w:sz w:val="22"/>
          <w:szCs w:val="22"/>
          <w:lang w:val="en-US"/>
        </w:rPr>
        <w:t>Elementa (Washington, D.C.)</w:t>
      </w:r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, </w:t>
      </w:r>
      <w:r w:rsidRPr="00D57BCA">
        <w:rPr>
          <w:rFonts w:ascii="Arial" w:eastAsia="Arial Nova" w:hAnsi="Arial" w:cs="Arial"/>
          <w:i/>
          <w:iCs/>
          <w:sz w:val="22"/>
          <w:szCs w:val="22"/>
          <w:lang w:val="en-US"/>
        </w:rPr>
        <w:t>6</w:t>
      </w:r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(1). </w:t>
      </w:r>
      <w:hyperlink r:id="rId9">
        <w:r w:rsidRPr="00D57BCA">
          <w:rPr>
            <w:rStyle w:val="Hyperlink"/>
            <w:rFonts w:ascii="Arial" w:eastAsia="Arial Nova" w:hAnsi="Arial" w:cs="Arial"/>
            <w:sz w:val="22"/>
            <w:szCs w:val="22"/>
            <w:lang w:val="en-US"/>
          </w:rPr>
          <w:t>https://doi.org/10.1525/elementa.330</w:t>
        </w:r>
      </w:hyperlink>
    </w:p>
    <w:p w14:paraId="5BEF21B4" w14:textId="5E555B07" w:rsidR="00FD5788" w:rsidRPr="00D57BCA" w:rsidRDefault="00FD5788" w:rsidP="4FC307F1">
      <w:pPr>
        <w:rPr>
          <w:rFonts w:ascii="Arial" w:eastAsia="Arial Nova" w:hAnsi="Arial" w:cs="Arial"/>
          <w:sz w:val="22"/>
          <w:szCs w:val="22"/>
          <w:lang w:val="en-US"/>
        </w:rPr>
      </w:pPr>
    </w:p>
    <w:p w14:paraId="69D20BA1" w14:textId="07C99AC8" w:rsidR="00FD5788" w:rsidRPr="00D57BCA" w:rsidRDefault="1E074D1E" w:rsidP="4FC307F1">
      <w:pPr>
        <w:spacing w:after="160" w:line="257" w:lineRule="auto"/>
        <w:rPr>
          <w:rFonts w:ascii="Arial" w:eastAsia="Arial Nova" w:hAnsi="Arial" w:cs="Arial"/>
          <w:sz w:val="22"/>
          <w:szCs w:val="22"/>
          <w:lang w:val="en-US"/>
        </w:rPr>
      </w:pPr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Leavy, P. (2020). </w:t>
      </w:r>
      <w:r w:rsidRPr="00D57BCA">
        <w:rPr>
          <w:rFonts w:ascii="Arial" w:eastAsia="Arial Nova" w:hAnsi="Arial" w:cs="Arial"/>
          <w:i/>
          <w:iCs/>
          <w:sz w:val="22"/>
          <w:szCs w:val="22"/>
          <w:lang w:val="en-US"/>
        </w:rPr>
        <w:t>Method meets art: Arts-based research practice</w:t>
      </w:r>
      <w:r w:rsidRPr="00D57BCA">
        <w:rPr>
          <w:rFonts w:ascii="Arial" w:eastAsia="Arial Nova" w:hAnsi="Arial" w:cs="Arial"/>
          <w:sz w:val="22"/>
          <w:szCs w:val="22"/>
          <w:lang w:val="en-US"/>
        </w:rPr>
        <w:t>. Guilford publications.</w:t>
      </w:r>
    </w:p>
    <w:p w14:paraId="7FD11047" w14:textId="0321E055" w:rsidR="00FD5788" w:rsidRPr="00D57BCA" w:rsidRDefault="1E074D1E" w:rsidP="4FC307F1">
      <w:pPr>
        <w:rPr>
          <w:rFonts w:ascii="Arial" w:eastAsia="Arial Nova" w:hAnsi="Arial" w:cs="Arial"/>
          <w:sz w:val="22"/>
          <w:szCs w:val="22"/>
        </w:rPr>
      </w:pPr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Seppälä, T., </w:t>
      </w:r>
      <w:proofErr w:type="spellStart"/>
      <w:r w:rsidRPr="00D57BCA">
        <w:rPr>
          <w:rFonts w:ascii="Arial" w:eastAsia="Arial Nova" w:hAnsi="Arial" w:cs="Arial"/>
          <w:sz w:val="22"/>
          <w:szCs w:val="22"/>
          <w:lang w:val="en-US"/>
        </w:rPr>
        <w:t>Sarantou</w:t>
      </w:r>
      <w:proofErr w:type="spellEnd"/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, M., &amp; Miettinen, S. (Eds.). (2021). Arts-Based Methods for </w:t>
      </w:r>
      <w:proofErr w:type="spellStart"/>
      <w:r w:rsidRPr="00D57BCA">
        <w:rPr>
          <w:rFonts w:ascii="Arial" w:eastAsia="Arial Nova" w:hAnsi="Arial" w:cs="Arial"/>
          <w:sz w:val="22"/>
          <w:szCs w:val="22"/>
          <w:lang w:val="en-US"/>
        </w:rPr>
        <w:t>Decolonising</w:t>
      </w:r>
      <w:proofErr w:type="spellEnd"/>
      <w:r w:rsidRPr="00D57BCA">
        <w:rPr>
          <w:rFonts w:ascii="Arial" w:eastAsia="Arial Nova" w:hAnsi="Arial" w:cs="Arial"/>
          <w:sz w:val="22"/>
          <w:szCs w:val="22"/>
          <w:lang w:val="en-US"/>
        </w:rPr>
        <w:t xml:space="preserve"> Participatory Research (1st ed.). Routledge. </w:t>
      </w:r>
      <w:hyperlink r:id="rId10">
        <w:r w:rsidRPr="00D57BCA">
          <w:rPr>
            <w:rStyle w:val="Hyperlink"/>
            <w:rFonts w:ascii="Arial" w:eastAsia="Arial Nova" w:hAnsi="Arial" w:cs="Arial"/>
            <w:sz w:val="22"/>
            <w:szCs w:val="22"/>
            <w:lang w:val="en-US"/>
          </w:rPr>
          <w:t>https://doi.org/10.4324/9781003053408</w:t>
        </w:r>
      </w:hyperlink>
    </w:p>
    <w:p w14:paraId="00FAFF15" w14:textId="16F77E5C" w:rsidR="00FD5788" w:rsidRPr="00D57BCA" w:rsidRDefault="00FD5788" w:rsidP="4FC307F1">
      <w:pPr>
        <w:rPr>
          <w:rFonts w:ascii="Arial" w:eastAsia="Arial Nova" w:hAnsi="Arial" w:cs="Arial"/>
          <w:b/>
          <w:bCs/>
          <w:sz w:val="22"/>
          <w:szCs w:val="22"/>
          <w:lang w:val="en-US"/>
        </w:rPr>
      </w:pPr>
    </w:p>
    <w:sectPr w:rsidR="00FD5788" w:rsidRPr="00D57BCA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6F83"/>
    <w:multiLevelType w:val="hybridMultilevel"/>
    <w:tmpl w:val="A3EADA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3E8A"/>
    <w:multiLevelType w:val="hybridMultilevel"/>
    <w:tmpl w:val="0E1EF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07975">
    <w:abstractNumId w:val="0"/>
  </w:num>
  <w:num w:numId="2" w16cid:durableId="1408573541">
    <w:abstractNumId w:val="4"/>
  </w:num>
  <w:num w:numId="3" w16cid:durableId="797842164">
    <w:abstractNumId w:val="1"/>
  </w:num>
  <w:num w:numId="4" w16cid:durableId="1422608094">
    <w:abstractNumId w:val="3"/>
  </w:num>
  <w:num w:numId="5" w16cid:durableId="107736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4A"/>
    <w:rsid w:val="00040094"/>
    <w:rsid w:val="000454E9"/>
    <w:rsid w:val="000E4448"/>
    <w:rsid w:val="00105E39"/>
    <w:rsid w:val="0012267D"/>
    <w:rsid w:val="00132AE5"/>
    <w:rsid w:val="0014506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5DE34A"/>
    <w:rsid w:val="005E1E74"/>
    <w:rsid w:val="005F2052"/>
    <w:rsid w:val="00602A9A"/>
    <w:rsid w:val="0065012F"/>
    <w:rsid w:val="0068043B"/>
    <w:rsid w:val="00681CA7"/>
    <w:rsid w:val="006E76F0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3BBF"/>
    <w:rsid w:val="009F4EA0"/>
    <w:rsid w:val="00AFC70F"/>
    <w:rsid w:val="00B026E8"/>
    <w:rsid w:val="00BA0872"/>
    <w:rsid w:val="00BA26BB"/>
    <w:rsid w:val="00BC6810"/>
    <w:rsid w:val="00BD2FF8"/>
    <w:rsid w:val="00BE0B4D"/>
    <w:rsid w:val="00BE58D6"/>
    <w:rsid w:val="00C26081"/>
    <w:rsid w:val="00C4126D"/>
    <w:rsid w:val="00C76C99"/>
    <w:rsid w:val="00C8423A"/>
    <w:rsid w:val="00CE53FE"/>
    <w:rsid w:val="00D57BCA"/>
    <w:rsid w:val="00D716AD"/>
    <w:rsid w:val="00DB7929"/>
    <w:rsid w:val="00DD1BB3"/>
    <w:rsid w:val="00E612FF"/>
    <w:rsid w:val="00EB1B31"/>
    <w:rsid w:val="00EB50FA"/>
    <w:rsid w:val="00F818D6"/>
    <w:rsid w:val="00FA372B"/>
    <w:rsid w:val="00FC4E22"/>
    <w:rsid w:val="00FD5788"/>
    <w:rsid w:val="02751176"/>
    <w:rsid w:val="04C30F29"/>
    <w:rsid w:val="0541E118"/>
    <w:rsid w:val="05CCFD8F"/>
    <w:rsid w:val="064D3B2D"/>
    <w:rsid w:val="075F1477"/>
    <w:rsid w:val="084A490A"/>
    <w:rsid w:val="085EC261"/>
    <w:rsid w:val="0A2F9E8B"/>
    <w:rsid w:val="0C4050A5"/>
    <w:rsid w:val="0C6407A4"/>
    <w:rsid w:val="0CFEFA3A"/>
    <w:rsid w:val="0E73835C"/>
    <w:rsid w:val="0EA79085"/>
    <w:rsid w:val="10307646"/>
    <w:rsid w:val="110A1E14"/>
    <w:rsid w:val="12D50786"/>
    <w:rsid w:val="12EA87AB"/>
    <w:rsid w:val="133458CB"/>
    <w:rsid w:val="13D1680B"/>
    <w:rsid w:val="1470C558"/>
    <w:rsid w:val="1482C4F6"/>
    <w:rsid w:val="1651883F"/>
    <w:rsid w:val="170AEF6F"/>
    <w:rsid w:val="178636C6"/>
    <w:rsid w:val="1787D97E"/>
    <w:rsid w:val="188E1A8E"/>
    <w:rsid w:val="1899437A"/>
    <w:rsid w:val="1BCA7D32"/>
    <w:rsid w:val="1C17C233"/>
    <w:rsid w:val="1D1C4F49"/>
    <w:rsid w:val="1DFCAA69"/>
    <w:rsid w:val="1E074D1E"/>
    <w:rsid w:val="1F7EE72C"/>
    <w:rsid w:val="234E5932"/>
    <w:rsid w:val="23C25B74"/>
    <w:rsid w:val="24AE4462"/>
    <w:rsid w:val="257F6F58"/>
    <w:rsid w:val="258E0720"/>
    <w:rsid w:val="26AF9E60"/>
    <w:rsid w:val="275313CD"/>
    <w:rsid w:val="28A504BB"/>
    <w:rsid w:val="28E564BE"/>
    <w:rsid w:val="290E44FA"/>
    <w:rsid w:val="29650246"/>
    <w:rsid w:val="29D8E699"/>
    <w:rsid w:val="2B4D90A7"/>
    <w:rsid w:val="2CB4FFA7"/>
    <w:rsid w:val="2E349416"/>
    <w:rsid w:val="315EB635"/>
    <w:rsid w:val="320E1DDF"/>
    <w:rsid w:val="32A4F985"/>
    <w:rsid w:val="3492FB7B"/>
    <w:rsid w:val="34FAD48C"/>
    <w:rsid w:val="3519FD95"/>
    <w:rsid w:val="36A55303"/>
    <w:rsid w:val="37048019"/>
    <w:rsid w:val="37C1B828"/>
    <w:rsid w:val="380B3B6F"/>
    <w:rsid w:val="38656207"/>
    <w:rsid w:val="387DDA10"/>
    <w:rsid w:val="38A5E405"/>
    <w:rsid w:val="38AC7034"/>
    <w:rsid w:val="397F99F6"/>
    <w:rsid w:val="39EC9AA2"/>
    <w:rsid w:val="3B4B18FF"/>
    <w:rsid w:val="3B688FB4"/>
    <w:rsid w:val="3B729616"/>
    <w:rsid w:val="3C279101"/>
    <w:rsid w:val="3C7DC861"/>
    <w:rsid w:val="3CCAED59"/>
    <w:rsid w:val="3CFE8DDD"/>
    <w:rsid w:val="3D7A69E6"/>
    <w:rsid w:val="3DAEEA42"/>
    <w:rsid w:val="3DBEA5BB"/>
    <w:rsid w:val="3E338339"/>
    <w:rsid w:val="3F2D4D3E"/>
    <w:rsid w:val="3FB55F38"/>
    <w:rsid w:val="3FDD434C"/>
    <w:rsid w:val="40DBD5DA"/>
    <w:rsid w:val="418CCFE4"/>
    <w:rsid w:val="41C54312"/>
    <w:rsid w:val="422D6F18"/>
    <w:rsid w:val="42B61F70"/>
    <w:rsid w:val="42D4604E"/>
    <w:rsid w:val="44250C9C"/>
    <w:rsid w:val="444F9633"/>
    <w:rsid w:val="445E8F70"/>
    <w:rsid w:val="44D1539B"/>
    <w:rsid w:val="451F3E93"/>
    <w:rsid w:val="4539109D"/>
    <w:rsid w:val="456433A2"/>
    <w:rsid w:val="46A36EAB"/>
    <w:rsid w:val="473D6AE6"/>
    <w:rsid w:val="47E4B3E3"/>
    <w:rsid w:val="49994703"/>
    <w:rsid w:val="4AA24CD7"/>
    <w:rsid w:val="4B5A474D"/>
    <w:rsid w:val="4BFA3363"/>
    <w:rsid w:val="4E87AC29"/>
    <w:rsid w:val="4F916075"/>
    <w:rsid w:val="4FC307F1"/>
    <w:rsid w:val="506A94FC"/>
    <w:rsid w:val="509699A9"/>
    <w:rsid w:val="520629DA"/>
    <w:rsid w:val="531F805E"/>
    <w:rsid w:val="53A9FF92"/>
    <w:rsid w:val="53ACA843"/>
    <w:rsid w:val="54C21C60"/>
    <w:rsid w:val="5636A192"/>
    <w:rsid w:val="583D8A12"/>
    <w:rsid w:val="58CCC5E0"/>
    <w:rsid w:val="5A92E141"/>
    <w:rsid w:val="5ABCA54B"/>
    <w:rsid w:val="5AD1011B"/>
    <w:rsid w:val="5AEA5FBA"/>
    <w:rsid w:val="5B043B9B"/>
    <w:rsid w:val="5B5B2466"/>
    <w:rsid w:val="5E647513"/>
    <w:rsid w:val="5EE47568"/>
    <w:rsid w:val="5F0A9EB2"/>
    <w:rsid w:val="5FC757C4"/>
    <w:rsid w:val="5FF4BF0A"/>
    <w:rsid w:val="606AF99B"/>
    <w:rsid w:val="6194F25B"/>
    <w:rsid w:val="61E3C57D"/>
    <w:rsid w:val="63078D3C"/>
    <w:rsid w:val="6354A62E"/>
    <w:rsid w:val="656B7F19"/>
    <w:rsid w:val="66953714"/>
    <w:rsid w:val="681E1812"/>
    <w:rsid w:val="6BCE3169"/>
    <w:rsid w:val="6FF0DBE9"/>
    <w:rsid w:val="700C2D77"/>
    <w:rsid w:val="70DEE2A6"/>
    <w:rsid w:val="70E0E402"/>
    <w:rsid w:val="71C73D3D"/>
    <w:rsid w:val="727A15C3"/>
    <w:rsid w:val="734D9E3E"/>
    <w:rsid w:val="73EE3DB0"/>
    <w:rsid w:val="74FB3CDE"/>
    <w:rsid w:val="7927A630"/>
    <w:rsid w:val="7A4C73E6"/>
    <w:rsid w:val="7AA6A8E0"/>
    <w:rsid w:val="7B7AC4C8"/>
    <w:rsid w:val="7BBAE159"/>
    <w:rsid w:val="7BC53FD2"/>
    <w:rsid w:val="7D50F1DA"/>
    <w:rsid w:val="7D8F2DAD"/>
    <w:rsid w:val="7F6AF73C"/>
    <w:rsid w:val="7FE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customStyle="1" w:styleId="normaltextrun">
    <w:name w:val="normaltextrun"/>
    <w:basedOn w:val="DefaultParagraphFont"/>
    <w:rsid w:val="000E4448"/>
  </w:style>
  <w:style w:type="character" w:styleId="Hyperlink">
    <w:name w:val="Hyperlink"/>
    <w:basedOn w:val="DefaultParagraphFont"/>
    <w:uiPriority w:val="99"/>
    <w:unhideWhenUsed/>
    <w:rsid w:val="4FC307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73/pnas.19204901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10.4324/978100305340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525/elementa.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D81EC45BF924D919BB4F2075C07D3" ma:contentTypeVersion="13" ma:contentTypeDescription="Opret et nyt dokument." ma:contentTypeScope="" ma:versionID="bfab5bf9170ba8034b58035ff3bbd721">
  <xsd:schema xmlns:xsd="http://www.w3.org/2001/XMLSchema" xmlns:xs="http://www.w3.org/2001/XMLSchema" xmlns:p="http://schemas.microsoft.com/office/2006/metadata/properties" xmlns:ns2="6518cd85-01af-40bf-863f-daf56e2f8974" xmlns:ns3="49d0c49a-58ea-49d5-8a98-1038136c86dd" targetNamespace="http://schemas.microsoft.com/office/2006/metadata/properties" ma:root="true" ma:fieldsID="8b944b0159927b68cbb28bfb1b38ac85" ns2:_="" ns3:_="">
    <xsd:import namespace="6518cd85-01af-40bf-863f-daf56e2f8974"/>
    <xsd:import namespace="49d0c49a-58ea-49d5-8a98-1038136c8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8cd85-01af-40bf-863f-daf56e2f8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c49a-58ea-49d5-8a98-1038136c86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9ad60a-7209-4e5a-a5ac-17d339a38f37}" ma:internalName="TaxCatchAll" ma:showField="CatchAllData" ma:web="49d0c49a-58ea-49d5-8a98-1038136c8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0c49a-58ea-49d5-8a98-1038136c86dd" xsi:nil="true"/>
    <lcf76f155ced4ddcb4097134ff3c332f xmlns="6518cd85-01af-40bf-863f-daf56e2f8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484F1-0159-49FC-ACB5-86FAB5E46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8cd85-01af-40bf-863f-daf56e2f8974"/>
    <ds:schemaRef ds:uri="49d0c49a-58ea-49d5-8a98-1038136c8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documentManagement/types"/>
    <ds:schemaRef ds:uri="49d0c49a-58ea-49d5-8a98-1038136c86d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518cd85-01af-40bf-863f-daf56e2f89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21</cp:revision>
  <cp:lastPrinted>2025-02-27T09:34:00Z</cp:lastPrinted>
  <dcterms:created xsi:type="dcterms:W3CDTF">2024-09-16T20:56:00Z</dcterms:created>
  <dcterms:modified xsi:type="dcterms:W3CDTF">2025-08-19T00:49:00Z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0x010100CACD81EC45BF924D919BB4F2075C07D3</vt:lpwstr>
  </property>
  <property fmtid="{D5CDD505-2E9C-101B-9397-08002B2CF9AE}" pid="3" name="MediaServiceImageTags">
    <vt:lpwstr/>
  </property>
</Properties>
</file>