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50053A" w14:paraId="5C38377B" w14:textId="77777777" w:rsidTr="000A28E2">
        <w:trPr>
          <w:jc w:val="center"/>
        </w:trPr>
        <w:tc>
          <w:tcPr>
            <w:tcW w:w="8640" w:type="dxa"/>
            <w:shd w:val="clear" w:color="auto" w:fill="auto"/>
          </w:tcPr>
          <w:p w14:paraId="5C44F357" w14:textId="19E8C15C" w:rsidR="001564A4" w:rsidRPr="0050053A" w:rsidRDefault="0021016E" w:rsidP="00972FAA">
            <w:pPr>
              <w:spacing w:before="120" w:after="120"/>
              <w:rPr>
                <w:rFonts w:ascii="Arial" w:hAnsi="Arial" w:cs="Arial"/>
                <w:b/>
                <w:sz w:val="22"/>
                <w:szCs w:val="22"/>
                <w:lang w:val="en-US" w:eastAsia="zh-CN"/>
              </w:rPr>
            </w:pPr>
            <w:r w:rsidRPr="0021016E">
              <w:rPr>
                <w:rFonts w:ascii="Arial" w:hAnsi="Arial" w:cs="Arial"/>
                <w:b/>
                <w:sz w:val="22"/>
                <w:szCs w:val="22"/>
                <w:lang w:val="en-US" w:eastAsia="en-GB"/>
              </w:rPr>
              <w:t>Mechanisms by which environmentally persistent free radicals induce oxidative stress</w:t>
            </w:r>
          </w:p>
        </w:tc>
      </w:tr>
      <w:tr w:rsidR="001564A4" w:rsidRPr="0050053A" w14:paraId="0E2E035C" w14:textId="77777777" w:rsidTr="000A28E2">
        <w:trPr>
          <w:jc w:val="center"/>
        </w:trPr>
        <w:tc>
          <w:tcPr>
            <w:tcW w:w="8640" w:type="dxa"/>
            <w:shd w:val="clear" w:color="auto" w:fill="auto"/>
          </w:tcPr>
          <w:p w14:paraId="73B55295" w14:textId="6A14269C" w:rsidR="001564A4" w:rsidRPr="0021016E" w:rsidRDefault="0021016E" w:rsidP="00972FAA">
            <w:pPr>
              <w:spacing w:before="120" w:after="120"/>
              <w:rPr>
                <w:rFonts w:ascii="Arial" w:hAnsi="Arial" w:cs="Arial"/>
                <w:sz w:val="22"/>
                <w:szCs w:val="22"/>
                <w:lang w:val="en-AU" w:eastAsia="en-GB"/>
              </w:rPr>
            </w:pPr>
            <w:r>
              <w:rPr>
                <w:rFonts w:ascii="Arial" w:hAnsi="Arial" w:cs="Arial"/>
                <w:sz w:val="22"/>
                <w:szCs w:val="22"/>
                <w:lang w:val="en-US" w:eastAsia="en-GB"/>
              </w:rPr>
              <w:t>Ayaho Yamamoto</w:t>
            </w:r>
            <w:r w:rsidR="001564A4" w:rsidRPr="00413B94">
              <w:rPr>
                <w:rFonts w:ascii="Arial" w:hAnsi="Arial" w:cs="Arial"/>
                <w:sz w:val="22"/>
                <w:szCs w:val="22"/>
                <w:vertAlign w:val="superscript"/>
                <w:lang w:val="en-US" w:eastAsia="en-GB"/>
              </w:rPr>
              <w:t>1</w:t>
            </w:r>
            <w:bookmarkStart w:id="0" w:name="Text8"/>
            <w:r w:rsidR="001564A4" w:rsidRPr="00413B94">
              <w:rPr>
                <w:rFonts w:ascii="Arial" w:hAnsi="Arial" w:cs="Arial"/>
                <w:sz w:val="22"/>
                <w:szCs w:val="22"/>
                <w:lang w:val="en-US" w:eastAsia="en-GB"/>
              </w:rPr>
              <w:t>,</w:t>
            </w:r>
            <w:bookmarkEnd w:id="0"/>
            <w:r w:rsidR="001564A4">
              <w:rPr>
                <w:rFonts w:ascii="Arial" w:hAnsi="Arial" w:cs="Arial"/>
                <w:sz w:val="22"/>
                <w:szCs w:val="22"/>
                <w:lang w:val="en-US" w:eastAsia="en-GB"/>
              </w:rPr>
              <w:t xml:space="preserve"> </w:t>
            </w:r>
            <w:r w:rsidRPr="0021016E">
              <w:rPr>
                <w:rFonts w:ascii="Arial" w:hAnsi="Arial" w:cs="Arial"/>
                <w:sz w:val="22"/>
                <w:szCs w:val="22"/>
                <w:lang w:val="en-AU" w:eastAsia="en-GB"/>
              </w:rPr>
              <w:t>Peter D. Sly</w:t>
            </w:r>
            <w:r w:rsidRPr="0021016E">
              <w:rPr>
                <w:rFonts w:ascii="Arial" w:hAnsi="Arial" w:cs="Arial"/>
                <w:sz w:val="22"/>
                <w:szCs w:val="22"/>
                <w:vertAlign w:val="superscript"/>
                <w:lang w:val="en-AU" w:eastAsia="en-GB"/>
              </w:rPr>
              <w:t>1</w:t>
            </w:r>
            <w:r w:rsidR="001564A4" w:rsidRPr="00413B94">
              <w:rPr>
                <w:rFonts w:ascii="Arial" w:hAnsi="Arial" w:cs="Arial"/>
                <w:sz w:val="22"/>
                <w:szCs w:val="22"/>
                <w:lang w:val="en-US" w:eastAsia="en-GB"/>
              </w:rPr>
              <w:t>,</w:t>
            </w:r>
            <w:r w:rsidRPr="00413B94">
              <w:rPr>
                <w:rFonts w:ascii="Arial" w:hAnsi="Arial" w:cs="Arial"/>
                <w:sz w:val="22"/>
                <w:szCs w:val="22"/>
                <w:lang w:val="en-US" w:eastAsia="en-GB"/>
              </w:rPr>
              <w:t xml:space="preserve"> </w:t>
            </w:r>
            <w:proofErr w:type="spellStart"/>
            <w:r w:rsidRPr="0021016E">
              <w:rPr>
                <w:rFonts w:ascii="Arial" w:hAnsi="Arial" w:cs="Arial"/>
                <w:sz w:val="22"/>
                <w:szCs w:val="22"/>
                <w:lang w:val="en-AU" w:eastAsia="en-GB"/>
              </w:rPr>
              <w:t>Lavrent</w:t>
            </w:r>
            <w:proofErr w:type="spellEnd"/>
            <w:r w:rsidRPr="0021016E">
              <w:rPr>
                <w:rFonts w:ascii="Arial" w:hAnsi="Arial" w:cs="Arial"/>
                <w:sz w:val="22"/>
                <w:szCs w:val="22"/>
                <w:lang w:val="en-AU" w:eastAsia="en-GB"/>
              </w:rPr>
              <w:t xml:space="preserve"> Khachatryan</w:t>
            </w:r>
            <w:r w:rsidRPr="0021016E">
              <w:rPr>
                <w:rFonts w:ascii="Arial" w:hAnsi="Arial" w:cs="Arial"/>
                <w:sz w:val="22"/>
                <w:szCs w:val="22"/>
                <w:vertAlign w:val="superscript"/>
                <w:lang w:val="en-AU" w:eastAsia="en-GB"/>
              </w:rPr>
              <w:t>2</w:t>
            </w:r>
            <w:r w:rsidRPr="0021016E">
              <w:rPr>
                <w:rFonts w:ascii="Arial" w:hAnsi="Arial" w:cs="Arial"/>
                <w:sz w:val="22"/>
                <w:szCs w:val="22"/>
                <w:lang w:val="en-AU" w:eastAsia="en-GB"/>
              </w:rPr>
              <w:t>, Stephania A. Cormier</w:t>
            </w:r>
            <w:r w:rsidRPr="0021016E">
              <w:rPr>
                <w:rFonts w:ascii="Arial" w:hAnsi="Arial" w:cs="Arial"/>
                <w:sz w:val="22"/>
                <w:szCs w:val="22"/>
                <w:vertAlign w:val="superscript"/>
                <w:lang w:val="en-AU" w:eastAsia="en-GB"/>
              </w:rPr>
              <w:t>3</w:t>
            </w:r>
            <w:r w:rsidRPr="0021016E">
              <w:rPr>
                <w:rFonts w:ascii="Arial" w:hAnsi="Arial" w:cs="Arial"/>
                <w:sz w:val="22"/>
                <w:szCs w:val="22"/>
                <w:lang w:val="en-AU" w:eastAsia="en-GB"/>
              </w:rPr>
              <w:t>,</w:t>
            </w:r>
            <w:r>
              <w:rPr>
                <w:rFonts w:ascii="Arial" w:hAnsi="Arial" w:cs="Arial"/>
                <w:sz w:val="22"/>
                <w:szCs w:val="22"/>
                <w:lang w:val="en-AU" w:eastAsia="en-GB"/>
              </w:rPr>
              <w:t xml:space="preserve"> </w:t>
            </w:r>
            <w:r w:rsidRPr="0021016E">
              <w:rPr>
                <w:rFonts w:ascii="Arial" w:hAnsi="Arial" w:cs="Arial"/>
                <w:sz w:val="22"/>
                <w:szCs w:val="22"/>
                <w:lang w:val="en-AU" w:eastAsia="en-GB"/>
              </w:rPr>
              <w:t>Emmanuelle Fantino</w:t>
            </w:r>
            <w:r w:rsidRPr="0021016E">
              <w:rPr>
                <w:rFonts w:ascii="Arial" w:hAnsi="Arial" w:cs="Arial"/>
                <w:sz w:val="22"/>
                <w:szCs w:val="22"/>
                <w:vertAlign w:val="superscript"/>
                <w:lang w:val="en-AU" w:eastAsia="en-GB"/>
              </w:rPr>
              <w:t>1</w:t>
            </w:r>
          </w:p>
        </w:tc>
      </w:tr>
      <w:tr w:rsidR="001564A4" w:rsidRPr="0050053A" w14:paraId="385A19D9" w14:textId="77777777" w:rsidTr="000A28E2">
        <w:trPr>
          <w:trHeight w:val="136"/>
          <w:jc w:val="center"/>
        </w:trPr>
        <w:tc>
          <w:tcPr>
            <w:tcW w:w="8640" w:type="dxa"/>
            <w:shd w:val="clear" w:color="auto" w:fill="auto"/>
          </w:tcPr>
          <w:p w14:paraId="0CA52442" w14:textId="6EB273D2" w:rsidR="0021016E" w:rsidRPr="0021016E" w:rsidRDefault="0021016E" w:rsidP="00972FAA">
            <w:pPr>
              <w:spacing w:before="120" w:after="120"/>
              <w:rPr>
                <w:rFonts w:ascii="Arial" w:hAnsi="Arial" w:cs="Arial"/>
                <w:i/>
                <w:sz w:val="22"/>
                <w:szCs w:val="22"/>
                <w:lang w:val="en-AU" w:eastAsia="en-GB"/>
              </w:rPr>
            </w:pPr>
            <w:r w:rsidRPr="0021016E">
              <w:rPr>
                <w:rFonts w:ascii="Arial" w:hAnsi="Arial" w:cs="Arial"/>
                <w:i/>
                <w:sz w:val="22"/>
                <w:szCs w:val="22"/>
                <w:vertAlign w:val="superscript"/>
                <w:lang w:val="en-AU" w:eastAsia="en-GB"/>
              </w:rPr>
              <w:t>1</w:t>
            </w:r>
            <w:r w:rsidRPr="0021016E">
              <w:rPr>
                <w:rFonts w:ascii="Arial" w:hAnsi="Arial" w:cs="Arial"/>
                <w:i/>
                <w:sz w:val="22"/>
                <w:szCs w:val="22"/>
                <w:lang w:val="en-AU" w:eastAsia="en-GB"/>
              </w:rPr>
              <w:t>Child Health Research Centre, The University of Queensland, South Brisbane, Queensland 4101, Australia</w:t>
            </w:r>
          </w:p>
          <w:p w14:paraId="686645B4" w14:textId="77777777" w:rsidR="0021016E" w:rsidRPr="0021016E" w:rsidRDefault="0021016E" w:rsidP="00972FAA">
            <w:pPr>
              <w:spacing w:before="120" w:after="120"/>
              <w:rPr>
                <w:rFonts w:ascii="Arial" w:hAnsi="Arial" w:cs="Arial"/>
                <w:i/>
                <w:sz w:val="22"/>
                <w:szCs w:val="22"/>
                <w:lang w:val="en-AU" w:eastAsia="en-GB"/>
              </w:rPr>
            </w:pPr>
            <w:r w:rsidRPr="0021016E">
              <w:rPr>
                <w:rFonts w:ascii="Arial" w:hAnsi="Arial" w:cs="Arial"/>
                <w:i/>
                <w:sz w:val="22"/>
                <w:szCs w:val="22"/>
                <w:vertAlign w:val="superscript"/>
                <w:lang w:val="en-AU" w:eastAsia="en-GB"/>
              </w:rPr>
              <w:t>2</w:t>
            </w:r>
            <w:r w:rsidRPr="0021016E">
              <w:rPr>
                <w:rFonts w:ascii="Arial" w:hAnsi="Arial" w:cs="Arial"/>
                <w:i/>
                <w:sz w:val="22"/>
                <w:szCs w:val="22"/>
                <w:lang w:val="en-AU" w:eastAsia="en-GB"/>
              </w:rPr>
              <w:t>Department of Chemistry, Louisiana State University, Baton Rouge, Louisiana 70803, United States</w:t>
            </w:r>
          </w:p>
          <w:p w14:paraId="45ED36BF" w14:textId="634AF26F" w:rsidR="001564A4" w:rsidRPr="0021016E" w:rsidRDefault="0021016E" w:rsidP="00972FAA">
            <w:pPr>
              <w:spacing w:before="120" w:after="120"/>
              <w:rPr>
                <w:rFonts w:ascii="Arial" w:hAnsi="Arial" w:cs="Arial"/>
                <w:i/>
                <w:sz w:val="22"/>
                <w:szCs w:val="22"/>
                <w:lang w:val="en-AU" w:eastAsia="en-GB"/>
              </w:rPr>
            </w:pPr>
            <w:r w:rsidRPr="0021016E">
              <w:rPr>
                <w:rFonts w:ascii="Arial" w:hAnsi="Arial" w:cs="Arial"/>
                <w:i/>
                <w:sz w:val="22"/>
                <w:szCs w:val="22"/>
                <w:vertAlign w:val="superscript"/>
                <w:lang w:val="en-AU" w:eastAsia="en-GB"/>
              </w:rPr>
              <w:t>3</w:t>
            </w:r>
            <w:r w:rsidRPr="0021016E">
              <w:rPr>
                <w:rFonts w:ascii="Arial" w:hAnsi="Arial" w:cs="Arial"/>
                <w:i/>
                <w:sz w:val="22"/>
                <w:szCs w:val="22"/>
                <w:lang w:val="en-AU" w:eastAsia="en-GB"/>
              </w:rPr>
              <w:t xml:space="preserve">Department of Biological Sciences, and Pennington Biomedical Research </w:t>
            </w:r>
            <w:proofErr w:type="spellStart"/>
            <w:r w:rsidRPr="0021016E">
              <w:rPr>
                <w:rFonts w:ascii="Arial" w:hAnsi="Arial" w:cs="Arial"/>
                <w:i/>
                <w:sz w:val="22"/>
                <w:szCs w:val="22"/>
                <w:lang w:val="en-AU" w:eastAsia="en-GB"/>
              </w:rPr>
              <w:t>Center</w:t>
            </w:r>
            <w:proofErr w:type="spellEnd"/>
            <w:r w:rsidRPr="0021016E">
              <w:rPr>
                <w:rFonts w:ascii="Arial" w:hAnsi="Arial" w:cs="Arial"/>
                <w:i/>
                <w:sz w:val="22"/>
                <w:szCs w:val="22"/>
                <w:lang w:val="en-AU" w:eastAsia="en-GB"/>
              </w:rPr>
              <w:t>, Louisiana State University, Baton Rouge, Louisiana 70803, United States</w:t>
            </w:r>
          </w:p>
        </w:tc>
      </w:tr>
      <w:tr w:rsidR="001564A4" w:rsidRPr="0050053A" w14:paraId="6DAF615A" w14:textId="77777777" w:rsidTr="00D474DA">
        <w:trPr>
          <w:trHeight w:hRule="exact" w:val="10379"/>
          <w:jc w:val="center"/>
        </w:trPr>
        <w:tc>
          <w:tcPr>
            <w:tcW w:w="8640" w:type="dxa"/>
            <w:shd w:val="clear" w:color="auto" w:fill="auto"/>
          </w:tcPr>
          <w:p w14:paraId="739E7937" w14:textId="77777777" w:rsidR="001564A4" w:rsidRPr="0050053A" w:rsidRDefault="001564A4" w:rsidP="00D474DA">
            <w:pPr>
              <w:pStyle w:val="Pa12"/>
              <w:jc w:val="both"/>
              <w:rPr>
                <w:rStyle w:val="A4"/>
              </w:rPr>
            </w:pPr>
            <w:r>
              <w:rPr>
                <w:rStyle w:val="A4"/>
                <w:b/>
                <w:bCs/>
              </w:rPr>
              <w:t>Introduction/</w:t>
            </w:r>
            <w:r w:rsidRPr="0050053A">
              <w:rPr>
                <w:rStyle w:val="A4"/>
                <w:b/>
                <w:bCs/>
              </w:rPr>
              <w:t xml:space="preserve">Aim: </w:t>
            </w:r>
          </w:p>
          <w:p w14:paraId="4186C341" w14:textId="77777777" w:rsidR="00D474DA" w:rsidRPr="00D474DA" w:rsidRDefault="00D474DA" w:rsidP="00D474DA">
            <w:pPr>
              <w:pStyle w:val="Pa12"/>
              <w:jc w:val="both"/>
              <w:rPr>
                <w:sz w:val="22"/>
                <w:szCs w:val="22"/>
                <w:lang w:val="en-AU"/>
              </w:rPr>
            </w:pPr>
            <w:r w:rsidRPr="00D474DA">
              <w:rPr>
                <w:sz w:val="22"/>
                <w:szCs w:val="22"/>
                <w:lang w:val="en-AU"/>
              </w:rPr>
              <w:t>Environmentally persistent free radicals (EPFRs) are oxidant components of air pollution and are present in substantial numbers on particulate matter. EPFRs have half-lives of days to years with long-lasting effects in biological systems. EPFRs participate in a redox cycle in biological systems and produce large quantities of reactive oxygen species. However, the mechanistic links between EPFR exposure and respiratory diseases are unclear. The aim of this study was to understand the mechanisms by which EPFRs induce oxidative stress (OS), the signalling pathways in the response of human respiratory epithelial cells to EPFRs, and to examine whether dietary antioxidants can provide protection.</w:t>
            </w:r>
          </w:p>
          <w:p w14:paraId="3D770CF7" w14:textId="5F442A05" w:rsidR="001564A4" w:rsidRPr="00D474DA" w:rsidRDefault="001564A4" w:rsidP="00D474DA">
            <w:pPr>
              <w:pStyle w:val="Pa12"/>
              <w:jc w:val="both"/>
              <w:rPr>
                <w:rStyle w:val="A4"/>
                <w:color w:val="auto"/>
              </w:rPr>
            </w:pPr>
          </w:p>
          <w:p w14:paraId="1B39336E" w14:textId="77777777" w:rsidR="001564A4" w:rsidRPr="0050053A" w:rsidRDefault="001564A4" w:rsidP="00D474DA">
            <w:pPr>
              <w:pStyle w:val="Pa12"/>
              <w:jc w:val="both"/>
              <w:rPr>
                <w:rStyle w:val="A4"/>
                <w:b/>
                <w:bCs/>
              </w:rPr>
            </w:pPr>
            <w:r w:rsidRPr="0050053A">
              <w:rPr>
                <w:rStyle w:val="A4"/>
                <w:b/>
                <w:bCs/>
              </w:rPr>
              <w:t>Method</w:t>
            </w:r>
            <w:r>
              <w:rPr>
                <w:rStyle w:val="A4"/>
                <w:b/>
                <w:bCs/>
              </w:rPr>
              <w:t>s</w:t>
            </w:r>
            <w:r w:rsidRPr="0050053A">
              <w:rPr>
                <w:rStyle w:val="A4"/>
                <w:b/>
                <w:bCs/>
              </w:rPr>
              <w:t xml:space="preserve">: </w:t>
            </w:r>
          </w:p>
          <w:p w14:paraId="6964CCED" w14:textId="77777777" w:rsidR="00D474DA" w:rsidRPr="00D474DA" w:rsidRDefault="00D474DA" w:rsidP="00D474DA">
            <w:pPr>
              <w:pStyle w:val="Pa12"/>
              <w:jc w:val="both"/>
              <w:rPr>
                <w:sz w:val="22"/>
                <w:szCs w:val="22"/>
                <w:lang w:val="en-AU"/>
              </w:rPr>
            </w:pPr>
            <w:r w:rsidRPr="00D474DA">
              <w:rPr>
                <w:sz w:val="22"/>
                <w:szCs w:val="22"/>
                <w:lang w:val="en-AU"/>
              </w:rPr>
              <w:t>Primary human nasal epithelial cells were collected from healthy adults and were grown and differentiated in air-liquid interface culture. The selected wells were pretreated with 20µM astaxanthin, an antioxidant, for 24 hours. The well-differentiated epithelia were subsequently exposed to 1mg/cm</w:t>
            </w:r>
            <w:r w:rsidRPr="00D474DA">
              <w:rPr>
                <w:sz w:val="22"/>
                <w:szCs w:val="22"/>
                <w:vertAlign w:val="superscript"/>
                <w:lang w:val="en-AU"/>
              </w:rPr>
              <w:t>2</w:t>
            </w:r>
            <w:r w:rsidRPr="00D474DA">
              <w:rPr>
                <w:sz w:val="22"/>
                <w:szCs w:val="22"/>
                <w:lang w:val="en-AU"/>
              </w:rPr>
              <w:t xml:space="preserve"> EPFRs for 4 hours. Samples were collected at 4- and 24-hours post-exposure. Outcomes measured included epithelial membrane integrity (trans epithelial electrical resistance, membrane permeability), cell death (LDH), mitochondrial reactive oxygen species generation (</w:t>
            </w:r>
            <w:proofErr w:type="spellStart"/>
            <w:r w:rsidRPr="00D474DA">
              <w:rPr>
                <w:sz w:val="22"/>
                <w:szCs w:val="22"/>
                <w:lang w:val="en-AU"/>
              </w:rPr>
              <w:t>mtROS</w:t>
            </w:r>
            <w:proofErr w:type="spellEnd"/>
            <w:r w:rsidRPr="00D474DA">
              <w:rPr>
                <w:sz w:val="22"/>
                <w:szCs w:val="22"/>
                <w:lang w:val="en-AU"/>
              </w:rPr>
              <w:t>), mRNA expression (</w:t>
            </w:r>
            <w:r w:rsidRPr="00D474DA">
              <w:rPr>
                <w:i/>
                <w:iCs/>
                <w:sz w:val="22"/>
                <w:szCs w:val="22"/>
                <w:lang w:val="en-AU"/>
              </w:rPr>
              <w:t>CYP1A1</w:t>
            </w:r>
            <w:r w:rsidRPr="00D474DA">
              <w:rPr>
                <w:sz w:val="22"/>
                <w:szCs w:val="22"/>
                <w:lang w:val="en-AU"/>
              </w:rPr>
              <w:t xml:space="preserve">, </w:t>
            </w:r>
            <w:r w:rsidRPr="00D474DA">
              <w:rPr>
                <w:i/>
                <w:iCs/>
                <w:sz w:val="22"/>
                <w:szCs w:val="22"/>
                <w:lang w:val="en-AU"/>
              </w:rPr>
              <w:t>p21</w:t>
            </w:r>
            <w:r w:rsidRPr="00D474DA">
              <w:rPr>
                <w:sz w:val="22"/>
                <w:szCs w:val="22"/>
                <w:lang w:val="en-AU"/>
              </w:rPr>
              <w:t xml:space="preserve">, </w:t>
            </w:r>
            <w:r w:rsidRPr="00D474DA">
              <w:rPr>
                <w:i/>
                <w:iCs/>
                <w:sz w:val="22"/>
                <w:szCs w:val="22"/>
                <w:lang w:val="en-AU"/>
              </w:rPr>
              <w:t>SIRT1</w:t>
            </w:r>
            <w:r w:rsidRPr="00D474DA">
              <w:rPr>
                <w:sz w:val="22"/>
                <w:szCs w:val="22"/>
                <w:lang w:val="en-AU"/>
              </w:rPr>
              <w:t xml:space="preserve">, </w:t>
            </w:r>
            <w:r w:rsidRPr="00D474DA">
              <w:rPr>
                <w:i/>
                <w:iCs/>
                <w:sz w:val="22"/>
                <w:szCs w:val="22"/>
                <w:lang w:val="en-AU"/>
              </w:rPr>
              <w:t>FOXO3</w:t>
            </w:r>
            <w:r w:rsidRPr="00D474DA">
              <w:rPr>
                <w:sz w:val="22"/>
                <w:szCs w:val="22"/>
                <w:lang w:val="en-AU"/>
              </w:rPr>
              <w:t xml:space="preserve">, </w:t>
            </w:r>
            <w:r w:rsidRPr="00D474DA">
              <w:rPr>
                <w:i/>
                <w:iCs/>
                <w:sz w:val="22"/>
                <w:szCs w:val="22"/>
                <w:lang w:val="en-AU"/>
              </w:rPr>
              <w:t>PINK1</w:t>
            </w:r>
            <w:r w:rsidRPr="00D474DA">
              <w:rPr>
                <w:sz w:val="22"/>
                <w:szCs w:val="22"/>
                <w:lang w:val="en-AU"/>
              </w:rPr>
              <w:t xml:space="preserve">, </w:t>
            </w:r>
            <w:r w:rsidRPr="00D474DA">
              <w:rPr>
                <w:i/>
                <w:iCs/>
                <w:sz w:val="22"/>
                <w:szCs w:val="22"/>
                <w:lang w:val="en-AU"/>
              </w:rPr>
              <w:t>MUC5AC</w:t>
            </w:r>
            <w:r w:rsidRPr="00D474DA">
              <w:rPr>
                <w:sz w:val="22"/>
                <w:szCs w:val="22"/>
                <w:lang w:val="en-AU"/>
              </w:rPr>
              <w:t>), and protein expression (phosphorylated and total ERK1/2; phosphorylated and total NF-</w:t>
            </w:r>
            <w:proofErr w:type="spellStart"/>
            <w:r w:rsidRPr="00D474DA">
              <w:rPr>
                <w:sz w:val="22"/>
                <w:szCs w:val="22"/>
                <w:lang w:val="en-AU"/>
              </w:rPr>
              <w:t>κB</w:t>
            </w:r>
            <w:proofErr w:type="spellEnd"/>
            <w:r w:rsidRPr="00D474DA">
              <w:rPr>
                <w:sz w:val="22"/>
                <w:szCs w:val="22"/>
                <w:lang w:val="en-AU"/>
              </w:rPr>
              <w:t>).</w:t>
            </w:r>
          </w:p>
          <w:p w14:paraId="5029BAE6" w14:textId="6CF94711" w:rsidR="001564A4" w:rsidRPr="00D474DA" w:rsidRDefault="001564A4" w:rsidP="00D474DA">
            <w:pPr>
              <w:pStyle w:val="Pa12"/>
              <w:jc w:val="both"/>
              <w:rPr>
                <w:rStyle w:val="A4"/>
                <w:color w:val="auto"/>
              </w:rPr>
            </w:pPr>
          </w:p>
          <w:p w14:paraId="6BF3F094" w14:textId="77777777" w:rsidR="001564A4" w:rsidRPr="0050053A" w:rsidRDefault="001564A4" w:rsidP="00D474DA">
            <w:pPr>
              <w:pStyle w:val="Pa12"/>
              <w:jc w:val="both"/>
              <w:rPr>
                <w:rStyle w:val="A4"/>
                <w:b/>
                <w:bCs/>
              </w:rPr>
            </w:pPr>
            <w:r w:rsidRPr="0050053A">
              <w:rPr>
                <w:rStyle w:val="A4"/>
                <w:b/>
                <w:bCs/>
              </w:rPr>
              <w:t xml:space="preserve">Results: </w:t>
            </w:r>
          </w:p>
          <w:p w14:paraId="4D517C94" w14:textId="77777777" w:rsidR="00D474DA" w:rsidRPr="00D474DA" w:rsidRDefault="00D474DA" w:rsidP="00D474DA">
            <w:pPr>
              <w:pStyle w:val="Pa12"/>
              <w:jc w:val="both"/>
              <w:rPr>
                <w:sz w:val="22"/>
                <w:szCs w:val="22"/>
                <w:lang w:val="en-AU"/>
              </w:rPr>
            </w:pPr>
            <w:r w:rsidRPr="00D474DA">
              <w:rPr>
                <w:sz w:val="22"/>
                <w:szCs w:val="22"/>
                <w:lang w:val="en-AU"/>
              </w:rPr>
              <w:t>EPFR exposure caused a decrease in epithelial cell integrity (</w:t>
            </w:r>
            <w:r w:rsidRPr="00D474DA">
              <w:rPr>
                <w:i/>
                <w:sz w:val="22"/>
                <w:szCs w:val="22"/>
                <w:lang w:val="en-AU"/>
              </w:rPr>
              <w:t>p</w:t>
            </w:r>
            <w:r w:rsidRPr="00D474DA">
              <w:rPr>
                <w:sz w:val="22"/>
                <w:szCs w:val="22"/>
                <w:lang w:val="en-AU"/>
              </w:rPr>
              <w:t xml:space="preserve">&lt;0.01), and </w:t>
            </w:r>
            <w:proofErr w:type="spellStart"/>
            <w:r w:rsidRPr="00D474DA">
              <w:rPr>
                <w:sz w:val="22"/>
                <w:szCs w:val="22"/>
                <w:lang w:val="en-AU"/>
              </w:rPr>
              <w:t>mtROS</w:t>
            </w:r>
            <w:proofErr w:type="spellEnd"/>
            <w:r w:rsidRPr="00D474DA">
              <w:rPr>
                <w:sz w:val="22"/>
                <w:szCs w:val="22"/>
                <w:lang w:val="en-AU"/>
              </w:rPr>
              <w:t xml:space="preserve"> production doubled compared with control (</w:t>
            </w:r>
            <w:r w:rsidRPr="00D474DA">
              <w:rPr>
                <w:i/>
                <w:sz w:val="22"/>
                <w:szCs w:val="22"/>
                <w:lang w:val="en-AU"/>
              </w:rPr>
              <w:t>p</w:t>
            </w:r>
            <w:r w:rsidRPr="00D474DA">
              <w:rPr>
                <w:sz w:val="22"/>
                <w:szCs w:val="22"/>
                <w:lang w:val="en-AU"/>
              </w:rPr>
              <w:t xml:space="preserve">&lt;0.05). EPFR exposure increased mRNA expression of </w:t>
            </w:r>
            <w:r w:rsidRPr="00D474DA">
              <w:rPr>
                <w:i/>
                <w:iCs/>
                <w:sz w:val="22"/>
                <w:szCs w:val="22"/>
                <w:lang w:val="en-AU"/>
              </w:rPr>
              <w:t>CYP1A1</w:t>
            </w:r>
            <w:r w:rsidRPr="00D474DA">
              <w:rPr>
                <w:sz w:val="22"/>
                <w:szCs w:val="22"/>
                <w:lang w:val="en-AU"/>
              </w:rPr>
              <w:t xml:space="preserve"> (xenobiotic metabolism) (</w:t>
            </w:r>
            <w:r w:rsidRPr="00D474DA">
              <w:rPr>
                <w:i/>
                <w:sz w:val="22"/>
                <w:szCs w:val="22"/>
                <w:lang w:val="en-AU"/>
              </w:rPr>
              <w:t>p</w:t>
            </w:r>
            <w:r w:rsidRPr="00D474DA">
              <w:rPr>
                <w:sz w:val="22"/>
                <w:szCs w:val="22"/>
                <w:lang w:val="en-AU"/>
              </w:rPr>
              <w:t xml:space="preserve">&lt;0.05), </w:t>
            </w:r>
            <w:r w:rsidRPr="00D474DA">
              <w:rPr>
                <w:i/>
                <w:iCs/>
                <w:sz w:val="22"/>
                <w:szCs w:val="22"/>
                <w:lang w:val="en-AU"/>
              </w:rPr>
              <w:t>SIRT1</w:t>
            </w:r>
            <w:r w:rsidRPr="00D474DA">
              <w:rPr>
                <w:sz w:val="22"/>
                <w:szCs w:val="22"/>
                <w:lang w:val="en-AU"/>
              </w:rPr>
              <w:t>-</w:t>
            </w:r>
            <w:r w:rsidRPr="00D474DA">
              <w:rPr>
                <w:i/>
                <w:iCs/>
                <w:sz w:val="22"/>
                <w:szCs w:val="22"/>
                <w:lang w:val="en-AU"/>
              </w:rPr>
              <w:t>FOXO3</w:t>
            </w:r>
            <w:r w:rsidRPr="00D474DA">
              <w:rPr>
                <w:sz w:val="22"/>
                <w:szCs w:val="22"/>
                <w:lang w:val="en-AU"/>
              </w:rPr>
              <w:t xml:space="preserve"> (antioxidant) (</w:t>
            </w:r>
            <w:r w:rsidRPr="00D474DA">
              <w:rPr>
                <w:i/>
                <w:sz w:val="22"/>
                <w:szCs w:val="22"/>
                <w:lang w:val="en-AU"/>
              </w:rPr>
              <w:t>p</w:t>
            </w:r>
            <w:r w:rsidRPr="00D474DA">
              <w:rPr>
                <w:sz w:val="22"/>
                <w:szCs w:val="22"/>
                <w:lang w:val="en-AU"/>
              </w:rPr>
              <w:t xml:space="preserve">&lt;0.05), </w:t>
            </w:r>
            <w:r w:rsidRPr="00D474DA">
              <w:rPr>
                <w:i/>
                <w:iCs/>
                <w:sz w:val="22"/>
                <w:szCs w:val="22"/>
                <w:lang w:val="en-AU"/>
              </w:rPr>
              <w:t>p21</w:t>
            </w:r>
            <w:r w:rsidRPr="00D474DA">
              <w:rPr>
                <w:sz w:val="22"/>
                <w:szCs w:val="22"/>
                <w:lang w:val="en-AU"/>
              </w:rPr>
              <w:t xml:space="preserve"> (apoptosis) (</w:t>
            </w:r>
            <w:r w:rsidRPr="00D474DA">
              <w:rPr>
                <w:i/>
                <w:sz w:val="22"/>
                <w:szCs w:val="22"/>
                <w:lang w:val="en-AU"/>
              </w:rPr>
              <w:t>p</w:t>
            </w:r>
            <w:r w:rsidRPr="00D474DA">
              <w:rPr>
                <w:sz w:val="22"/>
                <w:szCs w:val="22"/>
                <w:lang w:val="en-AU"/>
              </w:rPr>
              <w:t xml:space="preserve">&lt;0.01), and </w:t>
            </w:r>
            <w:r w:rsidRPr="00D474DA">
              <w:rPr>
                <w:i/>
                <w:iCs/>
                <w:sz w:val="22"/>
                <w:szCs w:val="22"/>
                <w:lang w:val="en-AU"/>
              </w:rPr>
              <w:t>PINK1</w:t>
            </w:r>
            <w:r w:rsidRPr="00D474DA">
              <w:rPr>
                <w:sz w:val="22"/>
                <w:szCs w:val="22"/>
                <w:lang w:val="en-AU"/>
              </w:rPr>
              <w:t xml:space="preserve"> (mitophagy) (</w:t>
            </w:r>
            <w:r w:rsidRPr="00D474DA">
              <w:rPr>
                <w:i/>
                <w:sz w:val="22"/>
                <w:szCs w:val="22"/>
                <w:lang w:val="en-AU"/>
              </w:rPr>
              <w:t>p</w:t>
            </w:r>
            <w:r w:rsidRPr="00D474DA">
              <w:rPr>
                <w:sz w:val="22"/>
                <w:szCs w:val="22"/>
                <w:lang w:val="en-AU"/>
              </w:rPr>
              <w:t xml:space="preserve">&lt;0.01); and decreased in </w:t>
            </w:r>
            <w:r w:rsidRPr="00D474DA">
              <w:rPr>
                <w:i/>
                <w:iCs/>
                <w:sz w:val="22"/>
                <w:szCs w:val="22"/>
                <w:lang w:val="en-AU"/>
              </w:rPr>
              <w:t>MUC5AC</w:t>
            </w:r>
            <w:r w:rsidRPr="00D474DA">
              <w:rPr>
                <w:sz w:val="22"/>
                <w:szCs w:val="22"/>
                <w:lang w:val="en-AU"/>
              </w:rPr>
              <w:t xml:space="preserve"> mRNA expression (mucus production) compared with control (</w:t>
            </w:r>
            <w:r w:rsidRPr="00D474DA">
              <w:rPr>
                <w:i/>
                <w:sz w:val="22"/>
                <w:szCs w:val="22"/>
                <w:lang w:val="en-AU"/>
              </w:rPr>
              <w:t>p</w:t>
            </w:r>
            <w:r w:rsidRPr="00D474DA">
              <w:rPr>
                <w:sz w:val="22"/>
                <w:szCs w:val="22"/>
                <w:lang w:val="en-AU"/>
              </w:rPr>
              <w:t>&lt;0.01). ERK1/2 and NF-</w:t>
            </w:r>
            <w:proofErr w:type="spellStart"/>
            <w:r w:rsidRPr="00D474DA">
              <w:rPr>
                <w:sz w:val="22"/>
                <w:szCs w:val="22"/>
                <w:lang w:val="en-AU"/>
              </w:rPr>
              <w:t>κB</w:t>
            </w:r>
            <w:proofErr w:type="spellEnd"/>
            <w:r w:rsidRPr="00D474DA">
              <w:rPr>
                <w:sz w:val="22"/>
                <w:szCs w:val="22"/>
                <w:lang w:val="en-AU"/>
              </w:rPr>
              <w:t xml:space="preserve"> phosphorylation increased following EPFR exposure. Most of these effects were prevented by pre-treatment with astaxanthin (</w:t>
            </w:r>
            <w:r w:rsidRPr="00D474DA">
              <w:rPr>
                <w:i/>
                <w:sz w:val="22"/>
                <w:szCs w:val="22"/>
                <w:lang w:val="en-AU"/>
              </w:rPr>
              <w:t>p</w:t>
            </w:r>
            <w:r w:rsidRPr="00D474DA">
              <w:rPr>
                <w:sz w:val="22"/>
                <w:szCs w:val="22"/>
                <w:lang w:val="en-AU"/>
              </w:rPr>
              <w:t>&lt;0.05).</w:t>
            </w:r>
          </w:p>
          <w:p w14:paraId="68537800" w14:textId="29BA76EA" w:rsidR="001564A4" w:rsidRPr="00D474DA" w:rsidRDefault="001564A4" w:rsidP="00D474DA">
            <w:pPr>
              <w:pStyle w:val="Pa12"/>
              <w:jc w:val="both"/>
              <w:rPr>
                <w:rStyle w:val="A4"/>
                <w:color w:val="auto"/>
              </w:rPr>
            </w:pPr>
          </w:p>
          <w:p w14:paraId="652F7BE1" w14:textId="77777777" w:rsidR="001564A4" w:rsidRPr="0050053A" w:rsidRDefault="001564A4" w:rsidP="00D474DA">
            <w:pPr>
              <w:pStyle w:val="Pa12"/>
              <w:jc w:val="both"/>
              <w:rPr>
                <w:rStyle w:val="A4"/>
                <w:b/>
                <w:bCs/>
              </w:rPr>
            </w:pPr>
            <w:r w:rsidRPr="0050053A">
              <w:rPr>
                <w:rStyle w:val="A4"/>
                <w:b/>
                <w:bCs/>
              </w:rPr>
              <w:t xml:space="preserve">Conclusion: </w:t>
            </w:r>
          </w:p>
          <w:p w14:paraId="033167F9" w14:textId="3DE47FB9" w:rsidR="001564A4" w:rsidRPr="00D474DA" w:rsidRDefault="00D474DA" w:rsidP="00D474DA">
            <w:pPr>
              <w:pStyle w:val="Pa12"/>
              <w:jc w:val="both"/>
              <w:rPr>
                <w:rStyle w:val="A4"/>
                <w:color w:val="auto"/>
                <w:lang w:val="en-AU"/>
              </w:rPr>
            </w:pPr>
            <w:r w:rsidRPr="00D474DA">
              <w:rPr>
                <w:sz w:val="22"/>
                <w:szCs w:val="22"/>
                <w:lang w:val="en-AU"/>
              </w:rPr>
              <w:t xml:space="preserve">Our results demonstrate that EPFRs cause damage to respiratory epithelium, induce OS and reduce mucus production via ERK1/2-NF-κB pathway. A dietary antioxidant, astaxanthin, protected cells from EPFR-induced OS and negative impacts caused by EPFRs. </w:t>
            </w:r>
          </w:p>
          <w:p w14:paraId="196E7BAC" w14:textId="0204BA2C" w:rsidR="001564A4" w:rsidRPr="0050053A" w:rsidRDefault="001564A4" w:rsidP="00D474DA">
            <w:pPr>
              <w:pStyle w:val="Pa12"/>
              <w:jc w:val="both"/>
              <w:rPr>
                <w:rStyle w:val="A4"/>
                <w:bCs/>
              </w:rPr>
            </w:pPr>
          </w:p>
          <w:p w14:paraId="3E8B4283" w14:textId="77777777" w:rsidR="001564A4" w:rsidRPr="0050053A" w:rsidRDefault="001564A4" w:rsidP="00D474DA">
            <w:pPr>
              <w:pStyle w:val="Pa12"/>
              <w:jc w:val="both"/>
              <w:rPr>
                <w:rStyle w:val="A4"/>
                <w:b/>
                <w:bCs/>
              </w:rPr>
            </w:pPr>
            <w:r w:rsidRPr="0050053A">
              <w:rPr>
                <w:rStyle w:val="A4"/>
                <w:b/>
                <w:bCs/>
              </w:rPr>
              <w:t xml:space="preserve">Grant Support: </w:t>
            </w:r>
          </w:p>
          <w:p w14:paraId="26031849" w14:textId="77777777" w:rsidR="00D474DA" w:rsidRPr="00D474DA" w:rsidRDefault="00D474DA" w:rsidP="00D474DA">
            <w:pPr>
              <w:pStyle w:val="Pa12"/>
              <w:jc w:val="both"/>
              <w:rPr>
                <w:sz w:val="22"/>
                <w:szCs w:val="22"/>
                <w:lang w:val="en-AU"/>
              </w:rPr>
            </w:pPr>
            <w:r w:rsidRPr="00D474DA">
              <w:rPr>
                <w:sz w:val="22"/>
                <w:szCs w:val="22"/>
                <w:lang w:val="en-AU"/>
              </w:rPr>
              <w:t>This work was funded by a grant from the National Institute of Environmental Health Sciences [3P42 ES013648-08A1S1]; and PDS is funded by the National Health and Medical Research Council, Australia [1193840].</w:t>
            </w:r>
          </w:p>
          <w:p w14:paraId="7F8381F0" w14:textId="77777777" w:rsidR="001564A4" w:rsidRDefault="001564A4" w:rsidP="000A28E2">
            <w:pPr>
              <w:pStyle w:val="Pa12"/>
              <w:rPr>
                <w:sz w:val="22"/>
                <w:szCs w:val="22"/>
              </w:rPr>
            </w:pP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2A70617" w:rsidR="00E0700F" w:rsidRPr="001173BE" w:rsidRDefault="00E0700F" w:rsidP="001173BE">
      <w:pPr>
        <w:rPr>
          <w:sz w:val="2"/>
          <w:szCs w:val="2"/>
        </w:rPr>
      </w:pPr>
    </w:p>
    <w:sectPr w:rsidR="00E0700F" w:rsidRPr="001173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1173BE"/>
    <w:rsid w:val="001564A4"/>
    <w:rsid w:val="0021016E"/>
    <w:rsid w:val="0051574E"/>
    <w:rsid w:val="008803FA"/>
    <w:rsid w:val="00972FAA"/>
    <w:rsid w:val="009B29F2"/>
    <w:rsid w:val="00B12E32"/>
    <w:rsid w:val="00D474DA"/>
    <w:rsid w:val="00E0700F"/>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7" ma:contentTypeDescription="Create a new document." ma:contentTypeScope="" ma:versionID="778b9c0417b177e5ab6c535dc7377d88">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be394e28ae68f14f8281989e71287a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8CB93A-EA04-470C-845D-189BA71CA80E}">
  <ds:schemaRefs>
    <ds:schemaRef ds:uri="http://schemas.openxmlformats.org/officeDocument/2006/bibliography"/>
  </ds:schemaRefs>
</ds:datastoreItem>
</file>

<file path=customXml/itemProps2.xml><?xml version="1.0" encoding="utf-8"?>
<ds:datastoreItem xmlns:ds="http://schemas.openxmlformats.org/officeDocument/2006/customXml" ds:itemID="{BAC8642D-6373-4036-996F-C4A2EA751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4.xml><?xml version="1.0" encoding="utf-8"?>
<ds:datastoreItem xmlns:ds="http://schemas.openxmlformats.org/officeDocument/2006/customXml" ds:itemID="{AA961898-40DD-42B0-A9FA-52244C88F073}">
  <ds:schemaRefs>
    <ds:schemaRef ds:uri="http://purl.org/dc/dcmitype/"/>
    <ds:schemaRef ds:uri="http://schemas.microsoft.com/office/2006/documentManagement/types"/>
    <ds:schemaRef ds:uri="cab52c9b-ab33-4221-8af9-54f8f2b86a80"/>
    <ds:schemaRef ds:uri="http://purl.org/dc/terms/"/>
    <ds:schemaRef ds:uri="http://schemas.microsoft.com/office/infopath/2007/PartnerControls"/>
    <ds:schemaRef ds:uri="http://schemas.openxmlformats.org/package/2006/metadata/core-properties"/>
    <ds:schemaRef ds:uri="http://www.w3.org/XML/1998/namespace"/>
    <ds:schemaRef ds:uri="6911e96c-4cc4-42d5-8e43-f93924cf6a05"/>
    <ds:schemaRef ds:uri="9c8a2b7b-0bee-4c48-b0a6-23db8982d3bc"/>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465</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Leah McLeod</cp:lastModifiedBy>
  <cp:revision>2</cp:revision>
  <dcterms:created xsi:type="dcterms:W3CDTF">2023-10-17T02:28:00Z</dcterms:created>
  <dcterms:modified xsi:type="dcterms:W3CDTF">2023-10-17T02:28:00Z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MSIP_Label_0f488380-630a-4f55-a077-a19445e3f360_Enabled">
    <vt:lpwstr>true</vt:lpwstr>
  </property>
  <property fmtid="{D5CDD505-2E9C-101B-9397-08002B2CF9AE}" pid="5" name="MSIP_Label_0f488380-630a-4f55-a077-a19445e3f360_SetDate">
    <vt:lpwstr>2023-10-13T03:16:38Z</vt:lpwstr>
  </property>
  <property fmtid="{D5CDD505-2E9C-101B-9397-08002B2CF9AE}" pid="6" name="MSIP_Label_0f488380-630a-4f55-a077-a19445e3f360_Method">
    <vt:lpwstr>Standard</vt:lpwstr>
  </property>
  <property fmtid="{D5CDD505-2E9C-101B-9397-08002B2CF9AE}" pid="7" name="MSIP_Label_0f488380-630a-4f55-a077-a19445e3f360_Name">
    <vt:lpwstr>OFFICIAL - INTERNAL</vt:lpwstr>
  </property>
  <property fmtid="{D5CDD505-2E9C-101B-9397-08002B2CF9AE}" pid="8" name="MSIP_Label_0f488380-630a-4f55-a077-a19445e3f360_SiteId">
    <vt:lpwstr>b6e377cf-9db3-46cb-91a2-fad9605bb15c</vt:lpwstr>
  </property>
  <property fmtid="{D5CDD505-2E9C-101B-9397-08002B2CF9AE}" pid="9" name="MSIP_Label_0f488380-630a-4f55-a077-a19445e3f360_ActionId">
    <vt:lpwstr>53ba8433-ed48-4584-925a-add7852914c7</vt:lpwstr>
  </property>
  <property fmtid="{D5CDD505-2E9C-101B-9397-08002B2CF9AE}" pid="10" name="MSIP_Label_0f488380-630a-4f55-a077-a19445e3f360_ContentBits">
    <vt:lpwstr>0</vt:lpwstr>
  </property>
</Properties>
</file>