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9"/>
      </w:tblGrid>
      <w:tr w:rsidR="001564A4" w:rsidRPr="007A2713" w14:paraId="5C38377B" w14:textId="77777777" w:rsidTr="007A2713">
        <w:trPr>
          <w:trHeight w:val="810"/>
          <w:jc w:val="center"/>
        </w:trPr>
        <w:tc>
          <w:tcPr>
            <w:tcW w:w="10119" w:type="dxa"/>
            <w:shd w:val="clear" w:color="auto" w:fill="auto"/>
          </w:tcPr>
          <w:p w14:paraId="5C44F357" w14:textId="403BA55B" w:rsidR="001564A4" w:rsidRPr="007A2713" w:rsidRDefault="007A2713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7A2713">
              <w:rPr>
                <w:rFonts w:ascii="Arial" w:hAnsi="Arial" w:cs="Arial"/>
                <w:sz w:val="22"/>
                <w:szCs w:val="22"/>
              </w:rPr>
              <w:t xml:space="preserve">Acute tacrolimus toxicity due to </w:t>
            </w:r>
            <w:proofErr w:type="spellStart"/>
            <w:r w:rsidRPr="007A2713">
              <w:rPr>
                <w:rFonts w:ascii="Arial" w:hAnsi="Arial" w:cs="Arial"/>
                <w:sz w:val="22"/>
                <w:szCs w:val="22"/>
              </w:rPr>
              <w:t>Paxlovid</w:t>
            </w:r>
            <w:proofErr w:type="spellEnd"/>
            <w:r w:rsidRPr="007A2713">
              <w:rPr>
                <w:rFonts w:ascii="Arial" w:hAnsi="Arial" w:cs="Arial"/>
                <w:sz w:val="22"/>
                <w:szCs w:val="22"/>
              </w:rPr>
              <w:t xml:space="preserve"> successfully managed with phenytoin</w:t>
            </w:r>
          </w:p>
        </w:tc>
      </w:tr>
      <w:tr w:rsidR="001564A4" w:rsidRPr="007A2713" w14:paraId="0E2E035C" w14:textId="77777777" w:rsidTr="007A2713">
        <w:trPr>
          <w:trHeight w:val="404"/>
          <w:jc w:val="center"/>
        </w:trPr>
        <w:tc>
          <w:tcPr>
            <w:tcW w:w="10119" w:type="dxa"/>
            <w:shd w:val="clear" w:color="auto" w:fill="auto"/>
          </w:tcPr>
          <w:p w14:paraId="73B55295" w14:textId="54354767" w:rsidR="001564A4" w:rsidRPr="007A2713" w:rsidRDefault="007A2713" w:rsidP="007A2713">
            <w:pPr>
              <w:rPr>
                <w:rFonts w:ascii="Arial" w:hAnsi="Arial" w:cs="Arial"/>
                <w:sz w:val="22"/>
                <w:szCs w:val="22"/>
              </w:rPr>
            </w:pPr>
            <w:r w:rsidRPr="007A2713">
              <w:rPr>
                <w:rFonts w:ascii="Arial" w:hAnsi="Arial" w:cs="Arial"/>
                <w:sz w:val="22"/>
                <w:szCs w:val="22"/>
              </w:rPr>
              <w:t>White CJ</w:t>
            </w:r>
            <w:r w:rsidRPr="007A2713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7A2713">
              <w:rPr>
                <w:rFonts w:ascii="Arial" w:hAnsi="Arial" w:cs="Arial"/>
                <w:sz w:val="22"/>
                <w:szCs w:val="22"/>
              </w:rPr>
              <w:t>, Bailey S</w:t>
            </w:r>
            <w:r w:rsidRPr="007A2713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7A2713">
              <w:rPr>
                <w:rFonts w:ascii="Arial" w:hAnsi="Arial" w:cs="Arial"/>
                <w:sz w:val="22"/>
                <w:szCs w:val="22"/>
              </w:rPr>
              <w:t>, Murnion B</w:t>
            </w:r>
            <w:r w:rsidRPr="007A2713">
              <w:rPr>
                <w:rFonts w:ascii="Arial" w:hAnsi="Arial" w:cs="Arial"/>
                <w:sz w:val="22"/>
                <w:szCs w:val="22"/>
                <w:vertAlign w:val="superscript"/>
              </w:rPr>
              <w:t>2,3</w:t>
            </w:r>
            <w:r w:rsidRPr="007A271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2713">
              <w:rPr>
                <w:rFonts w:ascii="Arial" w:hAnsi="Arial" w:cs="Arial"/>
                <w:sz w:val="22"/>
                <w:szCs w:val="22"/>
              </w:rPr>
              <w:t>Plit</w:t>
            </w:r>
            <w:proofErr w:type="spellEnd"/>
            <w:r w:rsidRPr="007A2713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7A2713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7A2713">
              <w:rPr>
                <w:rFonts w:ascii="Arial" w:hAnsi="Arial" w:cs="Arial"/>
                <w:sz w:val="22"/>
                <w:szCs w:val="22"/>
              </w:rPr>
              <w:t>, Darley D</w:t>
            </w:r>
            <w:r w:rsidRPr="007A2713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</w:p>
        </w:tc>
      </w:tr>
      <w:tr w:rsidR="001564A4" w:rsidRPr="007A2713" w14:paraId="385A19D9" w14:textId="77777777" w:rsidTr="007A2713">
        <w:trPr>
          <w:trHeight w:val="215"/>
          <w:jc w:val="center"/>
        </w:trPr>
        <w:tc>
          <w:tcPr>
            <w:tcW w:w="10119" w:type="dxa"/>
            <w:shd w:val="clear" w:color="auto" w:fill="auto"/>
          </w:tcPr>
          <w:p w14:paraId="6A61DFDB" w14:textId="77777777" w:rsidR="007A2713" w:rsidRPr="007A2713" w:rsidRDefault="007A2713" w:rsidP="007A271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A2713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1 </w:t>
            </w:r>
            <w:r w:rsidRPr="007A2713">
              <w:rPr>
                <w:rFonts w:ascii="Arial" w:hAnsi="Arial" w:cs="Arial"/>
                <w:i/>
                <w:sz w:val="22"/>
                <w:szCs w:val="22"/>
              </w:rPr>
              <w:t>Lung Transplant &amp; Thoracic Medicine Unit, St Vincent’s Hospital, Sydney, NSW Australia</w:t>
            </w:r>
          </w:p>
          <w:p w14:paraId="47D5BB96" w14:textId="77777777" w:rsidR="007A2713" w:rsidRPr="007A2713" w:rsidRDefault="007A2713" w:rsidP="007A271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A2713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2 </w:t>
            </w:r>
            <w:r w:rsidRPr="007A2713">
              <w:rPr>
                <w:rFonts w:ascii="Arial" w:hAnsi="Arial" w:cs="Arial"/>
                <w:i/>
                <w:sz w:val="22"/>
                <w:szCs w:val="22"/>
              </w:rPr>
              <w:t>St Vincent’s Clinical School, The University of New South Wales, Sydney, NSW Australia</w:t>
            </w:r>
          </w:p>
          <w:p w14:paraId="45ED36BF" w14:textId="7822775A" w:rsidR="001564A4" w:rsidRPr="007A2713" w:rsidRDefault="007A2713" w:rsidP="007A271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A2713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3 </w:t>
            </w:r>
            <w:r w:rsidRPr="007A2713">
              <w:rPr>
                <w:rFonts w:ascii="Arial" w:hAnsi="Arial" w:cs="Arial"/>
                <w:i/>
                <w:sz w:val="22"/>
                <w:szCs w:val="22"/>
              </w:rPr>
              <w:t>Clinical Pharmacology Department, St Vincent’s Hospital, Sydney, NSW Australia</w:t>
            </w:r>
          </w:p>
        </w:tc>
      </w:tr>
      <w:tr w:rsidR="001564A4" w:rsidRPr="007A2713" w14:paraId="6DAF615A" w14:textId="77777777" w:rsidTr="007A2713">
        <w:trPr>
          <w:trHeight w:hRule="exact" w:val="11694"/>
          <w:jc w:val="center"/>
        </w:trPr>
        <w:tc>
          <w:tcPr>
            <w:tcW w:w="10119" w:type="dxa"/>
            <w:shd w:val="clear" w:color="auto" w:fill="auto"/>
          </w:tcPr>
          <w:p w14:paraId="739E7937" w14:textId="77777777" w:rsidR="001564A4" w:rsidRPr="007A2713" w:rsidRDefault="001564A4" w:rsidP="000A28E2">
            <w:pPr>
              <w:pStyle w:val="Pa12"/>
              <w:rPr>
                <w:rStyle w:val="A4"/>
              </w:rPr>
            </w:pPr>
            <w:r w:rsidRPr="007A2713">
              <w:rPr>
                <w:rStyle w:val="A4"/>
                <w:b/>
                <w:bCs/>
              </w:rPr>
              <w:t xml:space="preserve">Introduction/Aim: </w:t>
            </w:r>
          </w:p>
          <w:p w14:paraId="6DD68F5C" w14:textId="12D04EBF" w:rsidR="007A2713" w:rsidRPr="007A2713" w:rsidRDefault="007A2713" w:rsidP="007A2713">
            <w:pPr>
              <w:rPr>
                <w:rFonts w:ascii="Arial" w:hAnsi="Arial" w:cs="Arial"/>
                <w:sz w:val="22"/>
                <w:szCs w:val="22"/>
              </w:rPr>
            </w:pPr>
            <w:r w:rsidRPr="007A2713">
              <w:rPr>
                <w:rFonts w:ascii="Arial" w:hAnsi="Arial" w:cs="Arial"/>
                <w:sz w:val="22"/>
                <w:szCs w:val="22"/>
              </w:rPr>
              <w:t xml:space="preserve">Tacrolimus, a </w:t>
            </w:r>
            <w:proofErr w:type="spellStart"/>
            <w:r w:rsidRPr="007A2713">
              <w:rPr>
                <w:rFonts w:ascii="Arial" w:hAnsi="Arial" w:cs="Arial"/>
                <w:sz w:val="22"/>
                <w:szCs w:val="22"/>
              </w:rPr>
              <w:t>calcineurin</w:t>
            </w:r>
            <w:proofErr w:type="spellEnd"/>
            <w:r w:rsidRPr="007A2713">
              <w:rPr>
                <w:rFonts w:ascii="Arial" w:hAnsi="Arial" w:cs="Arial"/>
                <w:sz w:val="22"/>
                <w:szCs w:val="22"/>
              </w:rPr>
              <w:t xml:space="preserve"> inhibitor, </w:t>
            </w:r>
            <w:proofErr w:type="gramStart"/>
            <w:r w:rsidRPr="007A2713">
              <w:rPr>
                <w:rFonts w:ascii="Arial" w:hAnsi="Arial" w:cs="Arial"/>
                <w:sz w:val="22"/>
                <w:szCs w:val="22"/>
              </w:rPr>
              <w:t>is often used</w:t>
            </w:r>
            <w:proofErr w:type="gramEnd"/>
            <w:r w:rsidRPr="007A2713">
              <w:rPr>
                <w:rFonts w:ascii="Arial" w:hAnsi="Arial" w:cs="Arial"/>
                <w:sz w:val="22"/>
                <w:szCs w:val="22"/>
              </w:rPr>
              <w:t xml:space="preserve"> after lung transplantation and is a substrate for cytochrome P450 (CYP) 3A4. We present the case of a 68 year-old female 7 years after lung transplant who developed significant tacrolimus toxicity following administration of </w:t>
            </w:r>
            <w:proofErr w:type="spellStart"/>
            <w:r w:rsidRPr="007A2713">
              <w:rPr>
                <w:rFonts w:ascii="Arial" w:hAnsi="Arial" w:cs="Arial"/>
                <w:sz w:val="22"/>
                <w:szCs w:val="22"/>
              </w:rPr>
              <w:t>Paxlovid</w:t>
            </w:r>
            <w:proofErr w:type="spellEnd"/>
            <w:r w:rsidRPr="007A2713">
              <w:rPr>
                <w:rFonts w:ascii="Arial" w:hAnsi="Arial" w:cs="Arial"/>
                <w:sz w:val="22"/>
                <w:szCs w:val="22"/>
              </w:rPr>
              <w:t xml:space="preserve"> (ritonavir-</w:t>
            </w:r>
            <w:proofErr w:type="spellStart"/>
            <w:r w:rsidRPr="007A2713">
              <w:rPr>
                <w:rFonts w:ascii="Arial" w:hAnsi="Arial" w:cs="Arial"/>
                <w:sz w:val="22"/>
                <w:szCs w:val="22"/>
              </w:rPr>
              <w:t>nirmaltrevir</w:t>
            </w:r>
            <w:proofErr w:type="spellEnd"/>
            <w:r w:rsidRPr="007A2713">
              <w:rPr>
                <w:rFonts w:ascii="Arial" w:hAnsi="Arial" w:cs="Arial"/>
                <w:sz w:val="22"/>
                <w:szCs w:val="22"/>
              </w:rPr>
              <w:t xml:space="preserve">), a potent CYP3A4 inhibitor, and </w:t>
            </w:r>
            <w:proofErr w:type="gramStart"/>
            <w:r w:rsidRPr="007A2713">
              <w:rPr>
                <w:rFonts w:ascii="Arial" w:hAnsi="Arial" w:cs="Arial"/>
                <w:sz w:val="22"/>
                <w:szCs w:val="22"/>
              </w:rPr>
              <w:t>was successfully managed</w:t>
            </w:r>
            <w:proofErr w:type="gramEnd"/>
            <w:r w:rsidRPr="007A2713">
              <w:rPr>
                <w:rFonts w:ascii="Arial" w:hAnsi="Arial" w:cs="Arial"/>
                <w:sz w:val="22"/>
                <w:szCs w:val="22"/>
              </w:rPr>
              <w:t xml:space="preserve"> with phenytoin.</w:t>
            </w:r>
            <w:r w:rsidR="001564A4" w:rsidRPr="007A2713">
              <w:rPr>
                <w:rFonts w:ascii="Arial" w:hAnsi="Arial" w:cs="Arial"/>
                <w:sz w:val="22"/>
                <w:szCs w:val="22"/>
              </w:rPr>
              <w:br/>
            </w:r>
            <w:r w:rsidRPr="007A2713">
              <w:rPr>
                <w:rFonts w:ascii="Arial" w:hAnsi="Arial" w:cs="Arial"/>
                <w:b/>
                <w:sz w:val="22"/>
                <w:szCs w:val="22"/>
              </w:rPr>
              <w:t>Case Report</w:t>
            </w:r>
            <w:proofErr w:type="gramStart"/>
            <w:r w:rsidRPr="007A2713">
              <w:rPr>
                <w:rFonts w:ascii="Arial" w:hAnsi="Arial" w:cs="Arial"/>
                <w:b/>
                <w:sz w:val="22"/>
                <w:szCs w:val="22"/>
              </w:rPr>
              <w:t>:</w:t>
            </w:r>
            <w:proofErr w:type="gramEnd"/>
            <w:r w:rsidR="001564A4" w:rsidRPr="007A2713">
              <w:rPr>
                <w:rFonts w:ascii="Arial" w:hAnsi="Arial" w:cs="Arial"/>
                <w:sz w:val="22"/>
                <w:szCs w:val="22"/>
              </w:rPr>
              <w:br/>
            </w:r>
            <w:r w:rsidRPr="007A2713">
              <w:rPr>
                <w:rFonts w:ascii="Arial" w:hAnsi="Arial" w:cs="Arial"/>
                <w:sz w:val="22"/>
                <w:szCs w:val="22"/>
              </w:rPr>
              <w:t>This 68 year-old female underwent lung transplant for emphysema in 2017 and had stable allograft function. Medications included tacrolimus slow release 3.5mg daily. She presented in August 2023 to a peripheral hospital with increasing confusion, headache and tremors. Investigations demonstrated acute kidney injury with a creatinine rise from 80</w:t>
            </w:r>
            <w:r w:rsidRPr="007A2713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µ</w:t>
            </w:r>
            <w:r w:rsidRPr="007A2713">
              <w:rPr>
                <w:rFonts w:ascii="Arial" w:hAnsi="Arial" w:cs="Arial"/>
                <w:sz w:val="22"/>
                <w:szCs w:val="22"/>
              </w:rPr>
              <w:t>mol/L to 234</w:t>
            </w:r>
            <w:r w:rsidRPr="007A2713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µ</w:t>
            </w:r>
            <w:r w:rsidRPr="007A2713" w:rsidDel="00B40C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2713">
              <w:rPr>
                <w:rFonts w:ascii="Arial" w:hAnsi="Arial" w:cs="Arial"/>
                <w:sz w:val="22"/>
                <w:szCs w:val="22"/>
              </w:rPr>
              <w:t>mol</w:t>
            </w:r>
            <w:proofErr w:type="spellEnd"/>
            <w:r w:rsidRPr="007A2713">
              <w:rPr>
                <w:rFonts w:ascii="Arial" w:hAnsi="Arial" w:cs="Arial"/>
                <w:sz w:val="22"/>
                <w:szCs w:val="22"/>
              </w:rPr>
              <w:t xml:space="preserve">/L and a tacrolimus concentration of &gt;60ng/ml. She had recently contracted COVID-19 and completed 3 days of </w:t>
            </w:r>
            <w:proofErr w:type="spellStart"/>
            <w:r w:rsidRPr="007A2713">
              <w:rPr>
                <w:rFonts w:ascii="Arial" w:hAnsi="Arial" w:cs="Arial"/>
                <w:sz w:val="22"/>
                <w:szCs w:val="22"/>
              </w:rPr>
              <w:t>Paxlovid</w:t>
            </w:r>
            <w:proofErr w:type="spellEnd"/>
            <w:r w:rsidRPr="007A2713">
              <w:rPr>
                <w:rFonts w:ascii="Arial" w:hAnsi="Arial" w:cs="Arial"/>
                <w:sz w:val="22"/>
                <w:szCs w:val="22"/>
              </w:rPr>
              <w:t xml:space="preserve"> therapy with a community practitioner without adjustment of tacrolimus dose. Phenytoin, a CYP3A4 inducer, </w:t>
            </w:r>
            <w:proofErr w:type="gramStart"/>
            <w:r w:rsidRPr="007A2713">
              <w:rPr>
                <w:rFonts w:ascii="Arial" w:hAnsi="Arial" w:cs="Arial"/>
                <w:sz w:val="22"/>
                <w:szCs w:val="22"/>
              </w:rPr>
              <w:t>was administered with a loading dose of 15mg/kg and continued orally for three days with close therapeutic drug monitoring</w:t>
            </w:r>
            <w:proofErr w:type="gramEnd"/>
            <w:r w:rsidRPr="007A2713">
              <w:rPr>
                <w:rFonts w:ascii="Arial" w:hAnsi="Arial" w:cs="Arial"/>
                <w:sz w:val="22"/>
                <w:szCs w:val="22"/>
              </w:rPr>
              <w:t xml:space="preserve">. This resulted in an immediate reduction in her tacrolimus concentration and serum creatinine with symptomatic improvement over two days. Tacrolimus </w:t>
            </w:r>
            <w:proofErr w:type="gramStart"/>
            <w:r w:rsidRPr="007A2713">
              <w:rPr>
                <w:rFonts w:ascii="Arial" w:hAnsi="Arial" w:cs="Arial"/>
                <w:sz w:val="22"/>
                <w:szCs w:val="22"/>
              </w:rPr>
              <w:t>was reintroduced</w:t>
            </w:r>
            <w:proofErr w:type="gramEnd"/>
            <w:r w:rsidRPr="007A2713">
              <w:rPr>
                <w:rFonts w:ascii="Arial" w:hAnsi="Arial" w:cs="Arial"/>
                <w:sz w:val="22"/>
                <w:szCs w:val="22"/>
              </w:rPr>
              <w:t xml:space="preserve"> after two days to maintain therapeutic levels. Renal function returned to baseline and she </w:t>
            </w:r>
            <w:proofErr w:type="gramStart"/>
            <w:r w:rsidRPr="007A2713">
              <w:rPr>
                <w:rFonts w:ascii="Arial" w:hAnsi="Arial" w:cs="Arial"/>
                <w:sz w:val="22"/>
                <w:szCs w:val="22"/>
              </w:rPr>
              <w:t>was discharged</w:t>
            </w:r>
            <w:proofErr w:type="gramEnd"/>
            <w:r w:rsidRPr="007A2713">
              <w:rPr>
                <w:rFonts w:ascii="Arial" w:hAnsi="Arial" w:cs="Arial"/>
                <w:sz w:val="22"/>
                <w:szCs w:val="22"/>
              </w:rPr>
              <w:t xml:space="preserve"> once tacrolimus was at steady state within the therapeutic range.</w:t>
            </w:r>
          </w:p>
          <w:p w14:paraId="5C699F45" w14:textId="73BA36BD" w:rsidR="007A2713" w:rsidRDefault="007A2713" w:rsidP="007A2713">
            <w:pPr>
              <w:rPr>
                <w:rFonts w:ascii="Arial" w:hAnsi="Arial" w:cs="Arial"/>
                <w:sz w:val="22"/>
                <w:szCs w:val="22"/>
              </w:rPr>
            </w:pPr>
            <w:r w:rsidRPr="007A2713">
              <w:rPr>
                <w:rFonts w:ascii="Arial" w:hAnsi="Arial" w:cs="Arial"/>
                <w:noProof/>
                <w:sz w:val="22"/>
                <w:szCs w:val="22"/>
                <w:lang w:eastAsia="en-AU"/>
              </w:rPr>
              <w:drawing>
                <wp:inline distT="0" distB="0" distL="0" distR="0" wp14:anchorId="11235964" wp14:editId="1D24098D">
                  <wp:extent cx="4486275" cy="296036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844" cy="298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D2F283" w14:textId="71058409" w:rsidR="007A2713" w:rsidRPr="007A2713" w:rsidRDefault="007A2713" w:rsidP="007A2713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sz w:val="22"/>
                <w:szCs w:val="22"/>
              </w:rPr>
              <w:t>Figure 1: Graphical timeline of tacrolimus concentration and creatinine level. Presented to hospital day 0.</w:t>
            </w:r>
          </w:p>
          <w:bookmarkEnd w:id="0"/>
          <w:p w14:paraId="652F7BE1" w14:textId="558BC377" w:rsidR="001564A4" w:rsidRPr="007A2713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7A2713">
              <w:rPr>
                <w:rStyle w:val="A4"/>
                <w:b/>
                <w:bCs/>
              </w:rPr>
              <w:t xml:space="preserve">Conclusion: </w:t>
            </w:r>
          </w:p>
          <w:p w14:paraId="53A32823" w14:textId="77777777" w:rsidR="007A2713" w:rsidRDefault="007A2713" w:rsidP="000A28E2">
            <w:pPr>
              <w:pStyle w:val="Pa12"/>
              <w:rPr>
                <w:sz w:val="22"/>
                <w:szCs w:val="22"/>
              </w:rPr>
            </w:pPr>
            <w:r w:rsidRPr="007A2713">
              <w:rPr>
                <w:sz w:val="22"/>
                <w:szCs w:val="22"/>
              </w:rPr>
              <w:t xml:space="preserve">We report the successful use of phenytoin, a potent CYP3A4 inducer, to enhance the metabolism of tacrolimus following administration of </w:t>
            </w:r>
            <w:proofErr w:type="spellStart"/>
            <w:r w:rsidRPr="007A2713">
              <w:rPr>
                <w:sz w:val="22"/>
                <w:szCs w:val="22"/>
              </w:rPr>
              <w:t>Paxlovid</w:t>
            </w:r>
            <w:proofErr w:type="spellEnd"/>
            <w:r w:rsidRPr="007A2713">
              <w:rPr>
                <w:sz w:val="22"/>
                <w:szCs w:val="22"/>
              </w:rPr>
              <w:t xml:space="preserve">, a strong CYP3A4 inhibitor. We add to the body of evidence that phenytoin appears to be a safe and effective strategy to manage severe tacrolimus toxicity. Future research </w:t>
            </w:r>
            <w:proofErr w:type="gramStart"/>
            <w:r w:rsidRPr="007A2713">
              <w:rPr>
                <w:sz w:val="22"/>
                <w:szCs w:val="22"/>
              </w:rPr>
              <w:t>is needed</w:t>
            </w:r>
            <w:proofErr w:type="gramEnd"/>
            <w:r w:rsidRPr="007A2713">
              <w:rPr>
                <w:sz w:val="22"/>
                <w:szCs w:val="22"/>
              </w:rPr>
              <w:t xml:space="preserve"> to understand ideal dosing and duration of phenytoin and the degre</w:t>
            </w:r>
            <w:r>
              <w:rPr>
                <w:sz w:val="22"/>
                <w:szCs w:val="22"/>
              </w:rPr>
              <w:t>e to which it hastens recovery.</w:t>
            </w:r>
          </w:p>
          <w:p w14:paraId="3E8B4283" w14:textId="3547B90E" w:rsidR="001564A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7A2713">
              <w:rPr>
                <w:rStyle w:val="A4"/>
                <w:b/>
                <w:bCs/>
              </w:rPr>
              <w:t xml:space="preserve">Grant Support: </w:t>
            </w:r>
          </w:p>
          <w:p w14:paraId="1B932EF9" w14:textId="119A9E5E" w:rsidR="007A2713" w:rsidRPr="007A2713" w:rsidRDefault="007A2713" w:rsidP="007A2713">
            <w:pPr>
              <w:pStyle w:val="Default"/>
            </w:pPr>
            <w:r>
              <w:t>Nil</w:t>
            </w:r>
          </w:p>
          <w:p w14:paraId="34BF0A0F" w14:textId="77777777" w:rsidR="001564A4" w:rsidRPr="007A2713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7A2713" w:rsidRDefault="001564A4" w:rsidP="000A28E2">
            <w:pPr>
              <w:pStyle w:val="Pa12"/>
              <w:rPr>
                <w:rStyle w:val="A4"/>
                <w:bCs/>
              </w:rPr>
            </w:pPr>
            <w:r w:rsidRPr="007A2713">
              <w:rPr>
                <w:rStyle w:val="A4"/>
                <w:bCs/>
              </w:rPr>
              <w:br/>
            </w:r>
            <w:r w:rsidRPr="007A2713">
              <w:rPr>
                <w:rStyle w:val="A4"/>
                <w:bCs/>
              </w:rPr>
              <w:br/>
            </w:r>
            <w:r w:rsidRPr="007A2713">
              <w:rPr>
                <w:rStyle w:val="A4"/>
                <w:bCs/>
              </w:rPr>
              <w:br/>
            </w:r>
            <w:r w:rsidRPr="007A2713">
              <w:rPr>
                <w:rStyle w:val="A4"/>
                <w:bCs/>
              </w:rPr>
              <w:br/>
            </w:r>
            <w:r w:rsidRPr="007A2713">
              <w:rPr>
                <w:rStyle w:val="A4"/>
                <w:bCs/>
              </w:rPr>
              <w:br/>
            </w:r>
            <w:r w:rsidRPr="007A2713">
              <w:rPr>
                <w:rStyle w:val="A4"/>
                <w:bCs/>
              </w:rPr>
              <w:br/>
            </w:r>
            <w:r w:rsidRPr="007A2713">
              <w:rPr>
                <w:rStyle w:val="A4"/>
                <w:bCs/>
              </w:rPr>
              <w:br/>
            </w:r>
            <w:r w:rsidRPr="007A2713">
              <w:rPr>
                <w:rStyle w:val="A4"/>
                <w:bCs/>
              </w:rPr>
              <w:br/>
            </w:r>
            <w:r w:rsidRPr="007A2713">
              <w:rPr>
                <w:rStyle w:val="A4"/>
                <w:bCs/>
              </w:rPr>
              <w:br/>
            </w:r>
            <w:r w:rsidRPr="007A2713">
              <w:rPr>
                <w:rStyle w:val="A4"/>
                <w:bCs/>
              </w:rPr>
              <w:br/>
            </w:r>
            <w:r w:rsidRPr="007A2713">
              <w:rPr>
                <w:rStyle w:val="A4"/>
                <w:bCs/>
              </w:rPr>
              <w:br/>
            </w:r>
          </w:p>
          <w:p w14:paraId="14DC37E4" w14:textId="77777777" w:rsidR="001564A4" w:rsidRPr="007A2713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7A2713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  <w:r w:rsidRPr="007A2713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0A5A502" w:rsidR="00E0700F" w:rsidRPr="007A2713" w:rsidRDefault="00E0700F" w:rsidP="007A2713">
      <w:pPr>
        <w:rPr>
          <w:rFonts w:ascii="Arial" w:hAnsi="Arial" w:cs="Arial"/>
          <w:sz w:val="22"/>
          <w:szCs w:val="22"/>
        </w:rPr>
      </w:pPr>
    </w:p>
    <w:sectPr w:rsidR="00E0700F" w:rsidRPr="007A2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A4"/>
    <w:rsid w:val="001564A4"/>
    <w:rsid w:val="0051574E"/>
    <w:rsid w:val="007A2713"/>
    <w:rsid w:val="008803FA"/>
    <w:rsid w:val="00B12E32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2135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Cameron White - SVHNS</cp:lastModifiedBy>
  <cp:revision>2</cp:revision>
  <dcterms:created xsi:type="dcterms:W3CDTF">2023-10-19T00:12:00Z</dcterms:created>
  <dcterms:modified xsi:type="dcterms:W3CDTF">2023-10-19T00:12:00Z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